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1021F" w14:textId="614756B5" w:rsidR="008C4E61" w:rsidRPr="00404A4F" w:rsidRDefault="008C4E61" w:rsidP="00E756EF">
      <w:pPr>
        <w:spacing w:after="240"/>
        <w:ind w:left="567"/>
        <w:rPr>
          <w:rFonts w:ascii="Open Sans" w:eastAsia="Times New Roman" w:hAnsi="Open Sans" w:cs="Open Sans"/>
          <w:color w:val="000000"/>
          <w:sz w:val="22"/>
          <w:szCs w:val="22"/>
          <w:lang w:eastAsia="es-ES_tradnl"/>
        </w:rPr>
      </w:pPr>
      <w:r w:rsidRPr="00404A4F">
        <w:rPr>
          <w:rFonts w:ascii="Open Sans" w:eastAsia="Times New Roman" w:hAnsi="Open Sans" w:cs="Open Sans"/>
          <w:color w:val="000000"/>
          <w:sz w:val="22"/>
          <w:szCs w:val="22"/>
          <w:lang w:eastAsia="es-ES_tradnl"/>
        </w:rPr>
        <w:t xml:space="preserve">SENTENCIA DEL TRIBUNAL DE JUSTICIA (Sala Cuarta), de 17 de noviembre de </w:t>
      </w:r>
      <w:proofErr w:type="gramStart"/>
      <w:r w:rsidRPr="00404A4F">
        <w:rPr>
          <w:rFonts w:ascii="Open Sans" w:eastAsia="Times New Roman" w:hAnsi="Open Sans" w:cs="Open Sans"/>
          <w:color w:val="000000"/>
          <w:sz w:val="22"/>
          <w:szCs w:val="22"/>
          <w:lang w:eastAsia="es-ES_tradnl"/>
        </w:rPr>
        <w:t>2022  (</w:t>
      </w:r>
      <w:proofErr w:type="gramEnd"/>
      <w:r w:rsidRPr="00404A4F">
        <w:rPr>
          <w:rFonts w:ascii="Open Sans" w:eastAsia="Times New Roman" w:hAnsi="Open Sans" w:cs="Open Sans"/>
          <w:color w:val="000000"/>
          <w:sz w:val="22"/>
          <w:szCs w:val="22"/>
          <w:lang w:eastAsia="es-ES_tradnl"/>
        </w:rPr>
        <w:t>asunto C</w:t>
      </w:r>
      <w:r w:rsidRPr="00404A4F">
        <w:rPr>
          <w:rFonts w:ascii="Open Sans" w:eastAsia="Times New Roman" w:hAnsi="Open Sans" w:cs="Open Sans"/>
          <w:color w:val="000000"/>
          <w:sz w:val="22"/>
          <w:szCs w:val="22"/>
          <w:lang w:eastAsia="es-ES_tradnl"/>
        </w:rPr>
        <w:noBreakHyphen/>
        <w:t xml:space="preserve">54/21), </w:t>
      </w:r>
      <w:proofErr w:type="spellStart"/>
      <w:r w:rsidRPr="00404A4F">
        <w:rPr>
          <w:rFonts w:ascii="Open Sans" w:eastAsia="Times New Roman" w:hAnsi="Open Sans" w:cs="Open Sans"/>
          <w:b/>
          <w:bCs/>
          <w:color w:val="000000"/>
          <w:sz w:val="22"/>
          <w:szCs w:val="22"/>
          <w:lang w:eastAsia="es-ES_tradnl"/>
        </w:rPr>
        <w:t>Antea</w:t>
      </w:r>
      <w:proofErr w:type="spellEnd"/>
      <w:r w:rsidRPr="00404A4F">
        <w:rPr>
          <w:rFonts w:ascii="Open Sans" w:eastAsia="Times New Roman" w:hAnsi="Open Sans" w:cs="Open Sans"/>
          <w:b/>
          <w:bCs/>
          <w:color w:val="000000"/>
          <w:sz w:val="22"/>
          <w:szCs w:val="22"/>
          <w:lang w:eastAsia="es-ES_tradnl"/>
        </w:rPr>
        <w:t xml:space="preserve"> </w:t>
      </w:r>
      <w:proofErr w:type="spellStart"/>
      <w:r w:rsidRPr="00404A4F">
        <w:rPr>
          <w:rFonts w:ascii="Open Sans" w:eastAsia="Times New Roman" w:hAnsi="Open Sans" w:cs="Open Sans"/>
          <w:b/>
          <w:bCs/>
          <w:color w:val="000000"/>
          <w:sz w:val="22"/>
          <w:szCs w:val="22"/>
          <w:lang w:eastAsia="es-ES_tradnl"/>
        </w:rPr>
        <w:t>Polska</w:t>
      </w:r>
      <w:proofErr w:type="spellEnd"/>
      <w:r w:rsidRPr="00404A4F">
        <w:rPr>
          <w:rFonts w:ascii="Open Sans" w:eastAsia="Times New Roman" w:hAnsi="Open Sans" w:cs="Open Sans"/>
          <w:b/>
          <w:bCs/>
          <w:color w:val="000000"/>
          <w:sz w:val="22"/>
          <w:szCs w:val="22"/>
          <w:lang w:eastAsia="es-ES_tradnl"/>
        </w:rPr>
        <w:t> S.A.</w:t>
      </w:r>
      <w:r w:rsidRPr="00404A4F">
        <w:rPr>
          <w:rFonts w:ascii="Open Sans" w:eastAsia="Times New Roman" w:hAnsi="Open Sans" w:cs="Open Sans"/>
          <w:color w:val="000000"/>
          <w:sz w:val="22"/>
          <w:szCs w:val="22"/>
          <w:lang w:eastAsia="es-ES_tradnl"/>
        </w:rPr>
        <w:t>,</w:t>
      </w:r>
      <w:r w:rsidR="00377CE5" w:rsidRPr="00404A4F">
        <w:rPr>
          <w:rFonts w:ascii="Open Sans" w:eastAsia="Times New Roman" w:hAnsi="Open Sans" w:cs="Open Sans"/>
          <w:color w:val="000000"/>
          <w:sz w:val="22"/>
          <w:szCs w:val="22"/>
          <w:lang w:eastAsia="es-ES_tradnl"/>
        </w:rPr>
        <w:t xml:space="preserve"> (https://eur-lex.europa.eu/legal-content/ES/TXT/?uri=CELEX:62021CJ0054)</w:t>
      </w:r>
    </w:p>
    <w:p w14:paraId="64EC20AA" w14:textId="083B52F4" w:rsidR="008C4E61" w:rsidRPr="008C4E61" w:rsidRDefault="008C4E61" w:rsidP="008C4E61">
      <w:pPr>
        <w:spacing w:after="240"/>
        <w:ind w:left="567"/>
        <w:jc w:val="center"/>
        <w:rPr>
          <w:rFonts w:ascii="Open Sans" w:eastAsia="Times New Roman" w:hAnsi="Open Sans" w:cs="Open Sans"/>
          <w:color w:val="000000"/>
          <w:sz w:val="18"/>
          <w:szCs w:val="18"/>
          <w:lang w:eastAsia="es-ES_tradnl"/>
        </w:rPr>
      </w:pPr>
    </w:p>
    <w:p w14:paraId="6C865534" w14:textId="0D2525B4" w:rsidR="008C4E61" w:rsidRDefault="00377CE5" w:rsidP="008C4E61">
      <w:pPr>
        <w:rPr>
          <w:rFonts w:ascii="Times New Roman" w:eastAsia="Times New Roman" w:hAnsi="Times New Roman" w:cs="Times New Roman"/>
          <w:lang w:eastAsia="es-ES_tradnl"/>
        </w:rPr>
      </w:pPr>
      <w:r>
        <w:rPr>
          <w:rFonts w:ascii="Times New Roman" w:eastAsia="Times New Roman" w:hAnsi="Times New Roman" w:cs="Times New Roman"/>
          <w:lang w:eastAsia="es-ES_tradnl"/>
        </w:rPr>
        <w:t>En esta sentencia, con varias cuestiones prejudiciales, se analiza el funcionamiento y alcance de la confidencialidad de ofertas frente a las exigencias de transparencia.</w:t>
      </w:r>
    </w:p>
    <w:p w14:paraId="65241F4A" w14:textId="7343B48F" w:rsidR="00377CE5" w:rsidRDefault="00377CE5" w:rsidP="008C4E61">
      <w:pPr>
        <w:rPr>
          <w:rFonts w:ascii="Times New Roman" w:eastAsia="Times New Roman" w:hAnsi="Times New Roman" w:cs="Times New Roman"/>
          <w:lang w:eastAsia="es-ES_tradnl"/>
        </w:rPr>
      </w:pPr>
      <w:r>
        <w:rPr>
          <w:rFonts w:ascii="Times New Roman" w:eastAsia="Times New Roman" w:hAnsi="Times New Roman" w:cs="Times New Roman"/>
          <w:lang w:eastAsia="es-ES_tradnl"/>
        </w:rPr>
        <w:t>Las conclusiones son las siguientes:</w:t>
      </w:r>
    </w:p>
    <w:p w14:paraId="612614E3" w14:textId="4CB17527" w:rsidR="00377CE5" w:rsidRPr="00377CE5" w:rsidRDefault="00377CE5" w:rsidP="00377CE5">
      <w:pPr>
        <w:pStyle w:val="c08dispositif"/>
        <w:spacing w:after="240" w:afterAutospacing="0"/>
        <w:ind w:left="1134" w:hanging="567"/>
        <w:jc w:val="both"/>
        <w:rPr>
          <w:rFonts w:ascii="Open Sans" w:hAnsi="Open Sans" w:cs="Open Sans"/>
          <w:color w:val="000000"/>
          <w:sz w:val="18"/>
          <w:szCs w:val="18"/>
        </w:rPr>
      </w:pPr>
      <w:r>
        <w:rPr>
          <w:rFonts w:ascii="Open Sans" w:hAnsi="Open Sans" w:cs="Open Sans"/>
          <w:b/>
          <w:bCs/>
          <w:color w:val="000000"/>
          <w:sz w:val="18"/>
          <w:szCs w:val="18"/>
        </w:rPr>
        <w:t xml:space="preserve">1)      Los artículos 18, apartado 1, y 21, apartado 1, de la Directiva 2014/24/UE </w:t>
      </w:r>
      <w:r w:rsidRPr="00377CE5">
        <w:rPr>
          <w:rFonts w:ascii="Open Sans" w:hAnsi="Open Sans" w:cs="Open Sans"/>
          <w:color w:val="000000"/>
          <w:sz w:val="18"/>
          <w:szCs w:val="18"/>
        </w:rPr>
        <w:t>del Parlamento Europeo y del Consejo, de 26 de febrero de 2014, sobre contratación pública y por la que se deroga la Directiva 2004/18/CE, en relación con los artículos 50, apartado 4, y 55, apartado 3, de la misma Directiva,</w:t>
      </w:r>
      <w:r>
        <w:rPr>
          <w:rFonts w:ascii="Open Sans" w:hAnsi="Open Sans" w:cs="Open Sans"/>
          <w:color w:val="000000"/>
          <w:sz w:val="18"/>
          <w:szCs w:val="18"/>
        </w:rPr>
        <w:t xml:space="preserve"> </w:t>
      </w:r>
      <w:r w:rsidRPr="00377CE5">
        <w:rPr>
          <w:rFonts w:ascii="Open Sans" w:hAnsi="Open Sans" w:cs="Open Sans"/>
          <w:color w:val="000000"/>
          <w:sz w:val="18"/>
          <w:szCs w:val="18"/>
        </w:rPr>
        <w:t>deben interpretarse en el sentido de que</w:t>
      </w:r>
      <w:r>
        <w:rPr>
          <w:rFonts w:ascii="Open Sans" w:hAnsi="Open Sans" w:cs="Open Sans"/>
          <w:color w:val="000000"/>
          <w:sz w:val="18"/>
          <w:szCs w:val="18"/>
        </w:rPr>
        <w:t xml:space="preserve"> </w:t>
      </w:r>
      <w:r>
        <w:rPr>
          <w:rFonts w:ascii="Open Sans" w:hAnsi="Open Sans" w:cs="Open Sans"/>
          <w:b/>
          <w:bCs/>
          <w:color w:val="000000"/>
          <w:sz w:val="18"/>
          <w:szCs w:val="18"/>
        </w:rPr>
        <w:t>se oponen a una normativa nacional en materia de contratación pública que exige que, con la única excepción de los secretos empresariales, la información transmitida por los licitadores a los poderes adjudicadores sea íntegramente publicada, así como a una práctica de los poderes adjudicadores que consiste en aceptar sistemáticamente las solicitudes de tratamiento confidencial en virtud del secreto empresarial.</w:t>
      </w:r>
    </w:p>
    <w:p w14:paraId="6261FD18" w14:textId="3710FF4E" w:rsidR="00377CE5" w:rsidRDefault="00377CE5" w:rsidP="00377CE5">
      <w:pPr>
        <w:pStyle w:val="c08dispositif"/>
        <w:spacing w:after="240" w:afterAutospacing="0"/>
        <w:ind w:left="1134" w:hanging="567"/>
        <w:jc w:val="both"/>
        <w:rPr>
          <w:rFonts w:ascii="Open Sans" w:hAnsi="Open Sans" w:cs="Open Sans"/>
          <w:b/>
          <w:bCs/>
          <w:color w:val="000000"/>
          <w:sz w:val="18"/>
          <w:szCs w:val="18"/>
        </w:rPr>
      </w:pPr>
      <w:r>
        <w:rPr>
          <w:rFonts w:ascii="Open Sans" w:hAnsi="Open Sans" w:cs="Open Sans"/>
          <w:b/>
          <w:bCs/>
          <w:color w:val="000000"/>
          <w:sz w:val="18"/>
          <w:szCs w:val="18"/>
        </w:rPr>
        <w:t>2)      Los artículos 18, apartado 1, 21, apartado 1, y 55, apartado 3, de la</w:t>
      </w:r>
      <w:r w:rsidRPr="00377CE5">
        <w:rPr>
          <w:rFonts w:ascii="Open Sans" w:hAnsi="Open Sans" w:cs="Open Sans"/>
          <w:color w:val="000000"/>
          <w:sz w:val="18"/>
          <w:szCs w:val="18"/>
        </w:rPr>
        <w:t xml:space="preserve"> Directiva 2014/24 deben interpretarse en el sentido de que el poder adjudicador,</w:t>
      </w:r>
    </w:p>
    <w:p w14:paraId="6437745B" w14:textId="77777777" w:rsidR="00377CE5" w:rsidRDefault="00377CE5" w:rsidP="00377CE5">
      <w:pPr>
        <w:pStyle w:val="c34dispositifmarge1avectiretlong"/>
        <w:spacing w:after="240" w:afterAutospacing="0"/>
        <w:ind w:left="1701" w:hanging="567"/>
        <w:jc w:val="both"/>
        <w:rPr>
          <w:rFonts w:ascii="Open Sans" w:hAnsi="Open Sans" w:cs="Open Sans"/>
          <w:b/>
          <w:bCs/>
          <w:color w:val="000000"/>
          <w:sz w:val="18"/>
          <w:szCs w:val="18"/>
        </w:rPr>
      </w:pPr>
      <w:r>
        <w:rPr>
          <w:rFonts w:ascii="Open Sans" w:hAnsi="Open Sans" w:cs="Open Sans"/>
          <w:b/>
          <w:bCs/>
          <w:color w:val="000000"/>
          <w:sz w:val="18"/>
          <w:szCs w:val="18"/>
        </w:rPr>
        <w:t>–        a efectos de determinar si va a denegar, a un licitador cuya oferta admisible haya sido rechazada, el acceso a la información que los demás licitadores hayan presentado sobre su experiencia pertinente y las referencias relativas a esta, sobre la identidad y las cualificaciones profesionales de las personas propuestas para la ejecución del contrato o de los subcontratistas y sobre el diseño de los proyectos que se prevé realizar en el marco del contrato y la forma de ejecución de este, debe apreciar si esa información tiene un valor comercial que no se limita al contrato público de que se trate, de modo que su divulgación pueda menoscabar los intereses comerciales legítimos o la competencia leal;</w:t>
      </w:r>
    </w:p>
    <w:p w14:paraId="3E77C3D1" w14:textId="77777777" w:rsidR="00377CE5" w:rsidRDefault="00377CE5" w:rsidP="00377CE5">
      <w:pPr>
        <w:pStyle w:val="c34dispositifmarge1avectiretlong"/>
        <w:spacing w:after="240" w:afterAutospacing="0"/>
        <w:ind w:left="1701" w:hanging="567"/>
        <w:jc w:val="both"/>
        <w:rPr>
          <w:rFonts w:ascii="Open Sans" w:hAnsi="Open Sans" w:cs="Open Sans"/>
          <w:b/>
          <w:bCs/>
          <w:color w:val="000000"/>
          <w:sz w:val="18"/>
          <w:szCs w:val="18"/>
        </w:rPr>
      </w:pPr>
      <w:r>
        <w:rPr>
          <w:rFonts w:ascii="Open Sans" w:hAnsi="Open Sans" w:cs="Open Sans"/>
          <w:b/>
          <w:bCs/>
          <w:color w:val="000000"/>
          <w:sz w:val="18"/>
          <w:szCs w:val="18"/>
        </w:rPr>
        <w:t>–        asimismo, puede denegar el acceso a tal información cuando, pese a no tener valor comercial, su divulgación pudiera obstaculizar la aplicación de la ley o ser contraria al interés público, y,</w:t>
      </w:r>
    </w:p>
    <w:p w14:paraId="139FECF7" w14:textId="77777777" w:rsidR="00377CE5" w:rsidRDefault="00377CE5" w:rsidP="00377CE5">
      <w:pPr>
        <w:pStyle w:val="c34dispositifmarge1avectiretlong"/>
        <w:spacing w:after="240" w:afterAutospacing="0"/>
        <w:ind w:left="1701" w:hanging="567"/>
        <w:jc w:val="both"/>
        <w:rPr>
          <w:rFonts w:ascii="Open Sans" w:hAnsi="Open Sans" w:cs="Open Sans"/>
          <w:b/>
          <w:bCs/>
          <w:color w:val="000000"/>
          <w:sz w:val="18"/>
          <w:szCs w:val="18"/>
        </w:rPr>
      </w:pPr>
      <w:r>
        <w:rPr>
          <w:rFonts w:ascii="Open Sans" w:hAnsi="Open Sans" w:cs="Open Sans"/>
          <w:b/>
          <w:bCs/>
          <w:color w:val="000000"/>
          <w:sz w:val="18"/>
          <w:szCs w:val="18"/>
        </w:rPr>
        <w:t>–        cuando se deniegue el acceso a la totalidad de la información, debe conceder a dicho licitador el acceso al contenido esencial de esa misma información, a fin de garantizar el respeto del derecho a la tutela judicial efectiva.</w:t>
      </w:r>
    </w:p>
    <w:p w14:paraId="72433E92" w14:textId="30D8E6FF" w:rsidR="00377CE5" w:rsidRDefault="00377CE5" w:rsidP="00377CE5">
      <w:pPr>
        <w:pStyle w:val="c08dispositif"/>
        <w:spacing w:after="240" w:afterAutospacing="0"/>
        <w:ind w:left="1134" w:hanging="567"/>
        <w:jc w:val="both"/>
        <w:rPr>
          <w:rFonts w:ascii="Open Sans" w:hAnsi="Open Sans" w:cs="Open Sans"/>
          <w:b/>
          <w:bCs/>
          <w:color w:val="000000"/>
          <w:sz w:val="18"/>
          <w:szCs w:val="18"/>
        </w:rPr>
      </w:pPr>
      <w:r>
        <w:rPr>
          <w:rFonts w:ascii="Open Sans" w:hAnsi="Open Sans" w:cs="Open Sans"/>
          <w:b/>
          <w:bCs/>
          <w:color w:val="000000"/>
          <w:sz w:val="18"/>
          <w:szCs w:val="18"/>
        </w:rPr>
        <w:t>3)      El artículo 18, apartado 1, de la Directiva 2014/24, en relación con su artículo 67, apartado 4,debe interpretarse en el sentido de que no se opone a que entre los criterios de adjudicación del contrato se incluyan el «diseño del desarrollo de los proyectos» que se prevé realizar en el marco del contrato público de que se trate y la «descripción de la forma de ejecución» de dicho contrato, siempre que esos criterios vayan acompañados de especificaciones que permitan al poder adjudicador comprobar de manera concreta y objetiva las ofertas presentadas.</w:t>
      </w:r>
    </w:p>
    <w:p w14:paraId="568E8096" w14:textId="5F181BCC" w:rsidR="00377CE5" w:rsidRPr="00377CE5" w:rsidRDefault="00377CE5" w:rsidP="00377CE5">
      <w:pPr>
        <w:pStyle w:val="c08dispositif"/>
        <w:spacing w:after="240" w:afterAutospacing="0"/>
        <w:ind w:left="1134" w:hanging="567"/>
        <w:jc w:val="both"/>
        <w:rPr>
          <w:rFonts w:ascii="Open Sans" w:hAnsi="Open Sans" w:cs="Open Sans"/>
          <w:color w:val="000000"/>
          <w:sz w:val="18"/>
          <w:szCs w:val="18"/>
        </w:rPr>
      </w:pPr>
      <w:r>
        <w:rPr>
          <w:rFonts w:ascii="Open Sans" w:hAnsi="Open Sans" w:cs="Open Sans"/>
          <w:b/>
          <w:bCs/>
          <w:color w:val="000000"/>
          <w:sz w:val="18"/>
          <w:szCs w:val="18"/>
        </w:rPr>
        <w:t xml:space="preserve">4)      El artículo 1, apartados 1 y 3, de la Directiva 89/665/CEE del Consejo, de 21 de diciembre de 1989, </w:t>
      </w:r>
      <w:r w:rsidRPr="00377CE5">
        <w:rPr>
          <w:rFonts w:ascii="Open Sans" w:hAnsi="Open Sans" w:cs="Open Sans"/>
          <w:color w:val="000000"/>
          <w:sz w:val="18"/>
          <w:szCs w:val="18"/>
        </w:rPr>
        <w:t xml:space="preserve">relativa a la coordinación de las disposiciones legales, reglamentarias y administrativas referentes a la aplicación de los procedimientos de recurso en materia de adjudicación de los contratos públicos de suministros y de obras, </w:t>
      </w:r>
      <w:r w:rsidRPr="00377CE5">
        <w:rPr>
          <w:rFonts w:ascii="Open Sans" w:hAnsi="Open Sans" w:cs="Open Sans"/>
          <w:color w:val="000000"/>
          <w:sz w:val="18"/>
          <w:szCs w:val="18"/>
        </w:rPr>
        <w:lastRenderedPageBreak/>
        <w:t>en su versión modificada por la Directiva 2014/23/UE del Parlamento Europeo y del Consejo, de 26 de febrero de 2014, debe interpretarse en el sentido de que,</w:t>
      </w:r>
      <w:r>
        <w:rPr>
          <w:rFonts w:ascii="Open Sans" w:hAnsi="Open Sans" w:cs="Open Sans"/>
          <w:color w:val="000000"/>
          <w:sz w:val="18"/>
          <w:szCs w:val="18"/>
        </w:rPr>
        <w:t xml:space="preserve"> </w:t>
      </w:r>
      <w:r>
        <w:rPr>
          <w:rFonts w:ascii="Open Sans" w:hAnsi="Open Sans" w:cs="Open Sans"/>
          <w:b/>
          <w:bCs/>
          <w:color w:val="000000"/>
          <w:sz w:val="18"/>
          <w:szCs w:val="18"/>
        </w:rPr>
        <w:t>cuando al conocer de un recurso interpuesto contra una decisión de adjudicación de un contrato público se constate la obligación del poder adjudicador de comunicar al demandante información que haya sido tratada erróneamente como confidencial y la vulneración del derecho a la tutela judicial efectiva a causa de que no se divulgara esa información, tal constatación no debe llevar necesariamente a la adopción de una nueva decisión de adjudicación por ese poder adjudicador, siempre que el Derecho procesal nacional permita al órgano jurisdiccional competente adoptar, durante la sustanciación del procedimiento, medidas que restablezcan el respeto del derecho a la tutela judicial efectiva o le permitan considerar que el demandante pude interponer un nuevo recurso contra la decisión de adjudicación ya adoptada. El plazo para la interposición de tal recurso no debe empezar a correr hasta el momento en que el demandante tenga acceso a la totalidad de la información que había sido calificada como confidencial erróneamente.</w:t>
      </w:r>
    </w:p>
    <w:p w14:paraId="0772BBAD" w14:textId="77777777" w:rsidR="00377CE5" w:rsidRPr="008C4E61" w:rsidRDefault="00377CE5" w:rsidP="008C4E61">
      <w:pPr>
        <w:rPr>
          <w:rFonts w:ascii="Times New Roman" w:eastAsia="Times New Roman" w:hAnsi="Times New Roman" w:cs="Times New Roman"/>
          <w:lang w:eastAsia="es-ES_tradnl"/>
        </w:rPr>
      </w:pPr>
    </w:p>
    <w:p w14:paraId="2F97C835" w14:textId="77777777" w:rsidR="00C847B7" w:rsidRDefault="00C847B7"/>
    <w:sectPr w:rsidR="00C847B7" w:rsidSect="00EC48D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61"/>
    <w:rsid w:val="001D0997"/>
    <w:rsid w:val="00377CE5"/>
    <w:rsid w:val="00404A4F"/>
    <w:rsid w:val="00716884"/>
    <w:rsid w:val="007971E6"/>
    <w:rsid w:val="008C4E61"/>
    <w:rsid w:val="00A7658C"/>
    <w:rsid w:val="00B164A8"/>
    <w:rsid w:val="00C847B7"/>
    <w:rsid w:val="00E756EF"/>
    <w:rsid w:val="00EC48D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B927"/>
  <w15:chartTrackingRefBased/>
  <w15:docId w15:val="{7499FFD2-83C4-314C-BEAD-682CADAA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19centre">
    <w:name w:val="c19centre"/>
    <w:basedOn w:val="Normal"/>
    <w:rsid w:val="008C4E61"/>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semiHidden/>
    <w:unhideWhenUsed/>
    <w:rsid w:val="008C4E61"/>
    <w:rPr>
      <w:color w:val="0000FF"/>
      <w:u w:val="single"/>
    </w:rPr>
  </w:style>
  <w:style w:type="paragraph" w:customStyle="1" w:styleId="c71indicateur">
    <w:name w:val="c71indicateur"/>
    <w:basedOn w:val="Normal"/>
    <w:rsid w:val="008C4E61"/>
    <w:pPr>
      <w:spacing w:before="100" w:beforeAutospacing="1" w:after="100" w:afterAutospacing="1"/>
    </w:pPr>
    <w:rPr>
      <w:rFonts w:ascii="Times New Roman" w:eastAsia="Times New Roman" w:hAnsi="Times New Roman" w:cs="Times New Roman"/>
      <w:lang w:eastAsia="es-ES_tradnl"/>
    </w:rPr>
  </w:style>
  <w:style w:type="paragraph" w:customStyle="1" w:styleId="c02alineaalta">
    <w:name w:val="c02alineaalta"/>
    <w:basedOn w:val="Normal"/>
    <w:rsid w:val="008C4E61"/>
    <w:pPr>
      <w:spacing w:before="100" w:beforeAutospacing="1" w:after="100" w:afterAutospacing="1"/>
    </w:pPr>
    <w:rPr>
      <w:rFonts w:ascii="Times New Roman" w:eastAsia="Times New Roman" w:hAnsi="Times New Roman" w:cs="Times New Roman"/>
      <w:lang w:eastAsia="es-ES_tradnl"/>
    </w:rPr>
  </w:style>
  <w:style w:type="paragraph" w:customStyle="1" w:styleId="c01pointnumerotealtn">
    <w:name w:val="c01pointnumerotealtn"/>
    <w:basedOn w:val="Normal"/>
    <w:rsid w:val="008C4E61"/>
    <w:pPr>
      <w:spacing w:before="100" w:beforeAutospacing="1" w:after="100" w:afterAutospacing="1"/>
    </w:pPr>
    <w:rPr>
      <w:rFonts w:ascii="Times New Roman" w:eastAsia="Times New Roman" w:hAnsi="Times New Roman" w:cs="Times New Roman"/>
      <w:lang w:eastAsia="es-ES_tradnl"/>
    </w:rPr>
  </w:style>
  <w:style w:type="paragraph" w:customStyle="1" w:styleId="c08dispositif">
    <w:name w:val="c08dispositif"/>
    <w:basedOn w:val="Normal"/>
    <w:rsid w:val="00377CE5"/>
    <w:pPr>
      <w:spacing w:before="100" w:beforeAutospacing="1" w:after="100" w:afterAutospacing="1"/>
    </w:pPr>
    <w:rPr>
      <w:rFonts w:ascii="Times New Roman" w:eastAsia="Times New Roman" w:hAnsi="Times New Roman" w:cs="Times New Roman"/>
      <w:lang w:eastAsia="es-ES_tradnl"/>
    </w:rPr>
  </w:style>
  <w:style w:type="paragraph" w:customStyle="1" w:styleId="c32dispositifmarge1">
    <w:name w:val="c32dispositifmarge1"/>
    <w:basedOn w:val="Normal"/>
    <w:rsid w:val="00377CE5"/>
    <w:pPr>
      <w:spacing w:before="100" w:beforeAutospacing="1" w:after="100" w:afterAutospacing="1"/>
    </w:pPr>
    <w:rPr>
      <w:rFonts w:ascii="Times New Roman" w:eastAsia="Times New Roman" w:hAnsi="Times New Roman" w:cs="Times New Roman"/>
      <w:lang w:eastAsia="es-ES_tradnl"/>
    </w:rPr>
  </w:style>
  <w:style w:type="paragraph" w:customStyle="1" w:styleId="c34dispositifmarge1avectiretlong">
    <w:name w:val="c34dispositifmarge1avectiretlong"/>
    <w:basedOn w:val="Normal"/>
    <w:rsid w:val="00377CE5"/>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89867">
      <w:bodyDiv w:val="1"/>
      <w:marLeft w:val="0"/>
      <w:marRight w:val="0"/>
      <w:marTop w:val="0"/>
      <w:marBottom w:val="0"/>
      <w:divBdr>
        <w:top w:val="none" w:sz="0" w:space="0" w:color="auto"/>
        <w:left w:val="none" w:sz="0" w:space="0" w:color="auto"/>
        <w:bottom w:val="none" w:sz="0" w:space="0" w:color="auto"/>
        <w:right w:val="none" w:sz="0" w:space="0" w:color="auto"/>
      </w:divBdr>
    </w:div>
    <w:div w:id="886844338">
      <w:bodyDiv w:val="1"/>
      <w:marLeft w:val="0"/>
      <w:marRight w:val="0"/>
      <w:marTop w:val="0"/>
      <w:marBottom w:val="0"/>
      <w:divBdr>
        <w:top w:val="none" w:sz="0" w:space="0" w:color="auto"/>
        <w:left w:val="none" w:sz="0" w:space="0" w:color="auto"/>
        <w:bottom w:val="none" w:sz="0" w:space="0" w:color="auto"/>
        <w:right w:val="none" w:sz="0" w:space="0" w:color="auto"/>
      </w:divBdr>
    </w:div>
    <w:div w:id="1251354320">
      <w:bodyDiv w:val="1"/>
      <w:marLeft w:val="0"/>
      <w:marRight w:val="0"/>
      <w:marTop w:val="0"/>
      <w:marBottom w:val="0"/>
      <w:divBdr>
        <w:top w:val="none" w:sz="0" w:space="0" w:color="auto"/>
        <w:left w:val="none" w:sz="0" w:space="0" w:color="auto"/>
        <w:bottom w:val="none" w:sz="0" w:space="0" w:color="auto"/>
        <w:right w:val="none" w:sz="0" w:space="0" w:color="auto"/>
      </w:divBdr>
    </w:div>
    <w:div w:id="1350521230">
      <w:bodyDiv w:val="1"/>
      <w:marLeft w:val="0"/>
      <w:marRight w:val="0"/>
      <w:marTop w:val="0"/>
      <w:marBottom w:val="0"/>
      <w:divBdr>
        <w:top w:val="none" w:sz="0" w:space="0" w:color="auto"/>
        <w:left w:val="none" w:sz="0" w:space="0" w:color="auto"/>
        <w:bottom w:val="none" w:sz="0" w:space="0" w:color="auto"/>
        <w:right w:val="none" w:sz="0" w:space="0" w:color="auto"/>
      </w:divBdr>
    </w:div>
    <w:div w:id="15510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3807</Characters>
  <Application>Microsoft Office Word</Application>
  <DocSecurity>4</DocSecurity>
  <Lines>63</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maria gimeno feliu</dc:creator>
  <cp:keywords/>
  <dc:description/>
  <cp:lastModifiedBy>Natalia Gracia Ojeda</cp:lastModifiedBy>
  <cp:revision>2</cp:revision>
  <dcterms:created xsi:type="dcterms:W3CDTF">2022-12-15T14:06:00Z</dcterms:created>
  <dcterms:modified xsi:type="dcterms:W3CDTF">2022-12-15T14:06:00Z</dcterms:modified>
</cp:coreProperties>
</file>