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528C0" w14:textId="4447472B" w:rsidR="00927F8B" w:rsidRPr="0043678D" w:rsidRDefault="008264E3" w:rsidP="00015DD4">
      <w:pPr>
        <w:jc w:val="both"/>
        <w:rPr>
          <w:rFonts w:ascii="Abadi" w:hAnsi="Abadi"/>
          <w:b/>
          <w:bCs/>
          <w:sz w:val="24"/>
          <w:szCs w:val="24"/>
        </w:rPr>
      </w:pPr>
      <w:r>
        <w:rPr>
          <w:rFonts w:ascii="Abadi" w:hAnsi="Abadi"/>
          <w:b/>
          <w:bCs/>
          <w:sz w:val="24"/>
          <w:szCs w:val="24"/>
        </w:rPr>
        <w:t xml:space="preserve">Límites </w:t>
      </w:r>
      <w:r w:rsidR="0061090A">
        <w:rPr>
          <w:rFonts w:ascii="Abadi" w:hAnsi="Abadi"/>
          <w:b/>
          <w:bCs/>
          <w:sz w:val="24"/>
          <w:szCs w:val="24"/>
        </w:rPr>
        <w:t>máximos e</w:t>
      </w:r>
      <w:r>
        <w:rPr>
          <w:rFonts w:ascii="Abadi" w:hAnsi="Abadi"/>
          <w:b/>
          <w:bCs/>
          <w:sz w:val="24"/>
          <w:szCs w:val="24"/>
        </w:rPr>
        <w:t>n las mejoras</w:t>
      </w:r>
      <w:r w:rsidR="00714A09">
        <w:rPr>
          <w:rFonts w:ascii="Abadi" w:hAnsi="Abadi"/>
          <w:b/>
          <w:bCs/>
          <w:sz w:val="24"/>
          <w:szCs w:val="24"/>
        </w:rPr>
        <w:t xml:space="preserve"> de b</w:t>
      </w:r>
      <w:r w:rsidRPr="0043678D">
        <w:rPr>
          <w:rFonts w:ascii="Abadi" w:hAnsi="Abadi"/>
          <w:b/>
          <w:bCs/>
          <w:sz w:val="24"/>
          <w:szCs w:val="24"/>
        </w:rPr>
        <w:t xml:space="preserve">olsa de horas anuales </w:t>
      </w:r>
      <w:r w:rsidR="0061090A">
        <w:rPr>
          <w:rFonts w:ascii="Abadi" w:hAnsi="Abadi"/>
          <w:b/>
          <w:bCs/>
          <w:sz w:val="24"/>
          <w:szCs w:val="24"/>
        </w:rPr>
        <w:t>sin coste.</w:t>
      </w:r>
    </w:p>
    <w:p w14:paraId="4DD47F40" w14:textId="77777777" w:rsidR="000D75A7" w:rsidRPr="0043678D" w:rsidRDefault="000D75A7" w:rsidP="00015DD4">
      <w:pPr>
        <w:jc w:val="both"/>
        <w:rPr>
          <w:rFonts w:ascii="Abadi" w:hAnsi="Abadi"/>
          <w:sz w:val="24"/>
          <w:szCs w:val="24"/>
        </w:rPr>
      </w:pPr>
    </w:p>
    <w:p w14:paraId="3E6C4030" w14:textId="194DED86" w:rsidR="002D1686" w:rsidRPr="0043678D" w:rsidRDefault="004A0643" w:rsidP="00015DD4">
      <w:pPr>
        <w:jc w:val="both"/>
        <w:rPr>
          <w:rFonts w:ascii="Abadi" w:hAnsi="Abadi"/>
          <w:sz w:val="24"/>
          <w:szCs w:val="24"/>
        </w:rPr>
      </w:pPr>
      <w:r w:rsidRPr="0043678D">
        <w:rPr>
          <w:rFonts w:ascii="Abadi" w:hAnsi="Abadi"/>
          <w:sz w:val="24"/>
          <w:szCs w:val="24"/>
        </w:rPr>
        <w:t>En los contratos de servicio continúa l</w:t>
      </w:r>
      <w:r w:rsidR="003C278A" w:rsidRPr="0043678D">
        <w:rPr>
          <w:rFonts w:ascii="Abadi" w:hAnsi="Abadi"/>
          <w:sz w:val="24"/>
          <w:szCs w:val="24"/>
        </w:rPr>
        <w:t xml:space="preserve">a </w:t>
      </w:r>
      <w:r w:rsidRPr="0043678D">
        <w:rPr>
          <w:rFonts w:ascii="Abadi" w:hAnsi="Abadi"/>
          <w:sz w:val="24"/>
          <w:szCs w:val="24"/>
        </w:rPr>
        <w:t xml:space="preserve">litigiosidad sobre </w:t>
      </w:r>
      <w:r w:rsidR="001C25A3" w:rsidRPr="0043678D">
        <w:rPr>
          <w:rFonts w:ascii="Abadi" w:hAnsi="Abadi"/>
          <w:sz w:val="24"/>
          <w:szCs w:val="24"/>
        </w:rPr>
        <w:t>el ajuste o no a la LCSP del criterio de adjudicación consistente en puntuar la oferta de las empresas de</w:t>
      </w:r>
      <w:r w:rsidR="002D1686" w:rsidRPr="0043678D">
        <w:rPr>
          <w:rFonts w:ascii="Abadi" w:hAnsi="Abadi"/>
          <w:sz w:val="24"/>
          <w:szCs w:val="24"/>
        </w:rPr>
        <w:t xml:space="preserve"> una bolsa de horas anuales </w:t>
      </w:r>
      <w:r w:rsidR="00714A09">
        <w:rPr>
          <w:rFonts w:ascii="Abadi" w:hAnsi="Abadi"/>
          <w:sz w:val="24"/>
          <w:szCs w:val="24"/>
        </w:rPr>
        <w:t>para</w:t>
      </w:r>
      <w:r w:rsidR="000A6560">
        <w:rPr>
          <w:rFonts w:ascii="Abadi" w:hAnsi="Abadi"/>
          <w:sz w:val="24"/>
          <w:szCs w:val="24"/>
        </w:rPr>
        <w:t xml:space="preserve"> </w:t>
      </w:r>
      <w:r w:rsidR="00EE1A0C" w:rsidRPr="0043678D">
        <w:rPr>
          <w:rFonts w:ascii="Abadi" w:hAnsi="Abadi"/>
          <w:sz w:val="24"/>
          <w:szCs w:val="24"/>
        </w:rPr>
        <w:t xml:space="preserve">situaciones especiales o extraordinarias </w:t>
      </w:r>
      <w:r w:rsidR="000A6560">
        <w:rPr>
          <w:rFonts w:ascii="Abadi" w:hAnsi="Abadi"/>
          <w:sz w:val="24"/>
          <w:szCs w:val="24"/>
        </w:rPr>
        <w:t xml:space="preserve">y </w:t>
      </w:r>
      <w:r w:rsidR="002D1686" w:rsidRPr="0043678D">
        <w:rPr>
          <w:rFonts w:ascii="Abadi" w:hAnsi="Abadi"/>
          <w:sz w:val="24"/>
          <w:szCs w:val="24"/>
        </w:rPr>
        <w:t xml:space="preserve">sin coste para </w:t>
      </w:r>
      <w:r w:rsidR="00EE1A0C">
        <w:rPr>
          <w:rFonts w:ascii="Abadi" w:hAnsi="Abadi"/>
          <w:sz w:val="24"/>
          <w:szCs w:val="24"/>
        </w:rPr>
        <w:t>la Administración</w:t>
      </w:r>
      <w:r w:rsidR="002D1686" w:rsidRPr="0043678D">
        <w:rPr>
          <w:rFonts w:ascii="Abadi" w:hAnsi="Abadi"/>
          <w:sz w:val="24"/>
          <w:szCs w:val="24"/>
        </w:rPr>
        <w:t>.</w:t>
      </w:r>
    </w:p>
    <w:p w14:paraId="13AB6D1E" w14:textId="55CC5B49" w:rsidR="000D75A7" w:rsidRPr="0043678D" w:rsidRDefault="00345814" w:rsidP="00015DD4">
      <w:pPr>
        <w:jc w:val="both"/>
        <w:rPr>
          <w:rFonts w:ascii="Abadi" w:hAnsi="Abadi"/>
          <w:sz w:val="24"/>
          <w:szCs w:val="24"/>
        </w:rPr>
      </w:pPr>
      <w:r w:rsidRPr="0043678D">
        <w:rPr>
          <w:rFonts w:ascii="Abadi" w:hAnsi="Abadi"/>
          <w:sz w:val="24"/>
          <w:szCs w:val="24"/>
        </w:rPr>
        <w:t>Las asociaciones empresariales</w:t>
      </w:r>
      <w:r w:rsidR="00A5608B" w:rsidRPr="0043678D">
        <w:rPr>
          <w:rFonts w:ascii="Abadi" w:hAnsi="Abadi"/>
          <w:sz w:val="24"/>
          <w:szCs w:val="24"/>
        </w:rPr>
        <w:t xml:space="preserve"> </w:t>
      </w:r>
      <w:r w:rsidR="00BA5449" w:rsidRPr="0043678D">
        <w:rPr>
          <w:rFonts w:ascii="Abadi" w:hAnsi="Abadi"/>
          <w:sz w:val="24"/>
          <w:szCs w:val="24"/>
        </w:rPr>
        <w:t xml:space="preserve">en los sectores afectados </w:t>
      </w:r>
      <w:r w:rsidR="0091459C" w:rsidRPr="0043678D">
        <w:rPr>
          <w:rFonts w:ascii="Abadi" w:hAnsi="Abadi"/>
          <w:sz w:val="24"/>
          <w:szCs w:val="24"/>
        </w:rPr>
        <w:t>lleva</w:t>
      </w:r>
      <w:r w:rsidR="00BA5449" w:rsidRPr="0043678D">
        <w:rPr>
          <w:rFonts w:ascii="Abadi" w:hAnsi="Abadi"/>
          <w:sz w:val="24"/>
          <w:szCs w:val="24"/>
        </w:rPr>
        <w:t>n</w:t>
      </w:r>
      <w:r w:rsidR="0091459C" w:rsidRPr="0043678D">
        <w:rPr>
          <w:rFonts w:ascii="Abadi" w:hAnsi="Abadi"/>
          <w:sz w:val="24"/>
          <w:szCs w:val="24"/>
        </w:rPr>
        <w:t xml:space="preserve"> una actividad</w:t>
      </w:r>
      <w:r w:rsidR="00A5608B" w:rsidRPr="0043678D">
        <w:rPr>
          <w:rFonts w:ascii="Abadi" w:hAnsi="Abadi"/>
          <w:sz w:val="24"/>
          <w:szCs w:val="24"/>
        </w:rPr>
        <w:t xml:space="preserve"> perseveran</w:t>
      </w:r>
      <w:r w:rsidR="0091459C" w:rsidRPr="0043678D">
        <w:rPr>
          <w:rFonts w:ascii="Abadi" w:hAnsi="Abadi"/>
          <w:sz w:val="24"/>
          <w:szCs w:val="24"/>
        </w:rPr>
        <w:t>te</w:t>
      </w:r>
      <w:r w:rsidR="00A5608B" w:rsidRPr="0043678D">
        <w:rPr>
          <w:rFonts w:ascii="Abadi" w:hAnsi="Abadi"/>
          <w:sz w:val="24"/>
          <w:szCs w:val="24"/>
        </w:rPr>
        <w:t xml:space="preserve"> </w:t>
      </w:r>
      <w:r w:rsidR="00BA5449" w:rsidRPr="0043678D">
        <w:rPr>
          <w:rFonts w:ascii="Abadi" w:hAnsi="Abadi"/>
          <w:sz w:val="24"/>
          <w:szCs w:val="24"/>
        </w:rPr>
        <w:t>(</w:t>
      </w:r>
      <w:r w:rsidR="00CA3207" w:rsidRPr="0043678D">
        <w:rPr>
          <w:rFonts w:ascii="Abadi" w:hAnsi="Abadi"/>
          <w:sz w:val="24"/>
          <w:szCs w:val="24"/>
        </w:rPr>
        <w:t xml:space="preserve">francamente meritoria y muy </w:t>
      </w:r>
      <w:r w:rsidR="00BA5449" w:rsidRPr="0043678D">
        <w:rPr>
          <w:rFonts w:ascii="Abadi" w:hAnsi="Abadi"/>
          <w:sz w:val="24"/>
          <w:szCs w:val="24"/>
        </w:rPr>
        <w:t>valiosa</w:t>
      </w:r>
      <w:r w:rsidR="00CA3207" w:rsidRPr="0043678D">
        <w:rPr>
          <w:rFonts w:ascii="Abadi" w:hAnsi="Abadi"/>
          <w:sz w:val="24"/>
          <w:szCs w:val="24"/>
        </w:rPr>
        <w:t xml:space="preserve"> para depurar malas prácticas</w:t>
      </w:r>
      <w:r w:rsidR="00BA5449" w:rsidRPr="0043678D">
        <w:rPr>
          <w:rFonts w:ascii="Abadi" w:hAnsi="Abadi"/>
          <w:sz w:val="24"/>
          <w:szCs w:val="24"/>
        </w:rPr>
        <w:t>)</w:t>
      </w:r>
      <w:r w:rsidR="00CA3207" w:rsidRPr="0043678D">
        <w:rPr>
          <w:rFonts w:ascii="Abadi" w:hAnsi="Abadi"/>
          <w:sz w:val="24"/>
          <w:szCs w:val="24"/>
        </w:rPr>
        <w:t xml:space="preserve"> </w:t>
      </w:r>
      <w:r w:rsidR="00AF7EDD" w:rsidRPr="0043678D">
        <w:rPr>
          <w:rFonts w:ascii="Abadi" w:hAnsi="Abadi"/>
          <w:sz w:val="24"/>
          <w:szCs w:val="24"/>
        </w:rPr>
        <w:t>de recurrir las licitaciones en que se prevé como criterio de adjudicación</w:t>
      </w:r>
      <w:r w:rsidR="00852C30" w:rsidRPr="0043678D">
        <w:rPr>
          <w:rFonts w:ascii="Abadi" w:hAnsi="Abadi"/>
          <w:sz w:val="24"/>
          <w:szCs w:val="24"/>
        </w:rPr>
        <w:t xml:space="preserve"> la “bolsa de horas”</w:t>
      </w:r>
      <w:r w:rsidR="00714A09">
        <w:rPr>
          <w:rFonts w:ascii="Abadi" w:hAnsi="Abadi"/>
          <w:sz w:val="24"/>
          <w:szCs w:val="24"/>
        </w:rPr>
        <w:t xml:space="preserve"> especialmente cuando no </w:t>
      </w:r>
      <w:r w:rsidR="009F5068">
        <w:rPr>
          <w:rFonts w:ascii="Abadi" w:hAnsi="Abadi"/>
          <w:sz w:val="24"/>
          <w:szCs w:val="24"/>
        </w:rPr>
        <w:t>se</w:t>
      </w:r>
      <w:r w:rsidR="00714A09">
        <w:rPr>
          <w:rFonts w:ascii="Abadi" w:hAnsi="Abadi"/>
          <w:sz w:val="24"/>
          <w:szCs w:val="24"/>
        </w:rPr>
        <w:t xml:space="preserve"> precisa el límite máximo </w:t>
      </w:r>
      <w:r w:rsidR="009F5068">
        <w:rPr>
          <w:rFonts w:ascii="Abadi" w:hAnsi="Abadi"/>
          <w:sz w:val="24"/>
          <w:szCs w:val="24"/>
        </w:rPr>
        <w:t xml:space="preserve">de horas </w:t>
      </w:r>
      <w:r w:rsidR="00714A09">
        <w:rPr>
          <w:rFonts w:ascii="Abadi" w:hAnsi="Abadi"/>
          <w:sz w:val="24"/>
          <w:szCs w:val="24"/>
        </w:rPr>
        <w:t>a ofertar</w:t>
      </w:r>
      <w:r w:rsidR="00852C30" w:rsidRPr="0043678D">
        <w:rPr>
          <w:rFonts w:ascii="Abadi" w:hAnsi="Abadi"/>
          <w:sz w:val="24"/>
          <w:szCs w:val="24"/>
        </w:rPr>
        <w:t xml:space="preserve"> lo que conlleva un goteo constante</w:t>
      </w:r>
      <w:r w:rsidR="00CA3207" w:rsidRPr="0043678D">
        <w:rPr>
          <w:rFonts w:ascii="Abadi" w:hAnsi="Abadi"/>
          <w:sz w:val="24"/>
          <w:szCs w:val="24"/>
        </w:rPr>
        <w:t xml:space="preserve"> en todo el territorio español de resoluciones de los tribunales administrativos de recursos y de los tribunales contencioso-administrativos.</w:t>
      </w:r>
    </w:p>
    <w:p w14:paraId="15ED5C8E" w14:textId="5275E1EE" w:rsidR="00BD093E" w:rsidRPr="0043678D" w:rsidRDefault="00BD093E" w:rsidP="00015DD4">
      <w:pPr>
        <w:jc w:val="both"/>
        <w:rPr>
          <w:rFonts w:ascii="Abadi" w:hAnsi="Abadi"/>
          <w:sz w:val="24"/>
          <w:szCs w:val="24"/>
        </w:rPr>
      </w:pPr>
      <w:r w:rsidRPr="0043678D">
        <w:rPr>
          <w:rFonts w:ascii="Abadi" w:hAnsi="Abadi"/>
          <w:sz w:val="24"/>
          <w:szCs w:val="24"/>
        </w:rPr>
        <w:t xml:space="preserve">Hace casi dos años María Asunción </w:t>
      </w:r>
      <w:r w:rsidR="00FF78FC" w:rsidRPr="0043678D">
        <w:rPr>
          <w:rFonts w:ascii="Abadi" w:hAnsi="Abadi"/>
          <w:sz w:val="24"/>
          <w:szCs w:val="24"/>
        </w:rPr>
        <w:t xml:space="preserve">Sanmartín </w:t>
      </w:r>
      <w:r w:rsidRPr="0043678D">
        <w:rPr>
          <w:rFonts w:ascii="Abadi" w:hAnsi="Abadi"/>
          <w:sz w:val="24"/>
          <w:szCs w:val="24"/>
        </w:rPr>
        <w:t xml:space="preserve">ya </w:t>
      </w:r>
      <w:r w:rsidR="00B977EA" w:rsidRPr="0043678D">
        <w:rPr>
          <w:rFonts w:ascii="Abadi" w:hAnsi="Abadi"/>
          <w:sz w:val="24"/>
          <w:szCs w:val="24"/>
        </w:rPr>
        <w:t xml:space="preserve">realizó </w:t>
      </w:r>
      <w:r w:rsidR="000A6560" w:rsidRPr="0043678D">
        <w:rPr>
          <w:rFonts w:ascii="Abadi" w:hAnsi="Abadi"/>
          <w:sz w:val="24"/>
          <w:szCs w:val="24"/>
        </w:rPr>
        <w:t xml:space="preserve">en este OBCP </w:t>
      </w:r>
      <w:r w:rsidR="00B977EA" w:rsidRPr="0043678D">
        <w:rPr>
          <w:rFonts w:ascii="Abadi" w:hAnsi="Abadi"/>
          <w:sz w:val="24"/>
          <w:szCs w:val="24"/>
        </w:rPr>
        <w:t xml:space="preserve">un </w:t>
      </w:r>
      <w:hyperlink r:id="rId5" w:history="1">
        <w:r w:rsidR="00B977EA" w:rsidRPr="0043678D">
          <w:rPr>
            <w:rStyle w:val="Enlla"/>
            <w:rFonts w:ascii="Abadi" w:hAnsi="Abadi"/>
            <w:sz w:val="24"/>
            <w:szCs w:val="24"/>
          </w:rPr>
          <w:t>análisis</w:t>
        </w:r>
      </w:hyperlink>
      <w:r w:rsidR="00B977EA" w:rsidRPr="0043678D">
        <w:rPr>
          <w:rFonts w:ascii="Abadi" w:hAnsi="Abadi"/>
          <w:sz w:val="24"/>
          <w:szCs w:val="24"/>
        </w:rPr>
        <w:t xml:space="preserve"> de la cuestión</w:t>
      </w:r>
      <w:r w:rsidR="00FF78FC" w:rsidRPr="0043678D">
        <w:rPr>
          <w:rFonts w:ascii="Abadi" w:hAnsi="Abadi"/>
          <w:sz w:val="24"/>
          <w:szCs w:val="24"/>
        </w:rPr>
        <w:t xml:space="preserve">, </w:t>
      </w:r>
      <w:r w:rsidR="00B977EA" w:rsidRPr="0043678D">
        <w:rPr>
          <w:rFonts w:ascii="Abadi" w:hAnsi="Abadi"/>
          <w:sz w:val="24"/>
          <w:szCs w:val="24"/>
        </w:rPr>
        <w:t>que pretendo ahora actualizar.</w:t>
      </w:r>
    </w:p>
    <w:p w14:paraId="515C591B" w14:textId="3A31D425" w:rsidR="000D75A7" w:rsidRPr="0043678D" w:rsidRDefault="00852C30" w:rsidP="00015DD4">
      <w:pPr>
        <w:jc w:val="both"/>
        <w:rPr>
          <w:rFonts w:ascii="Abadi" w:hAnsi="Abadi"/>
          <w:sz w:val="24"/>
          <w:szCs w:val="24"/>
        </w:rPr>
      </w:pPr>
      <w:r w:rsidRPr="0043678D">
        <w:rPr>
          <w:rFonts w:ascii="Abadi" w:hAnsi="Abadi"/>
          <w:sz w:val="24"/>
          <w:szCs w:val="24"/>
        </w:rPr>
        <w:t xml:space="preserve">Voy a referirme a unas </w:t>
      </w:r>
      <w:r w:rsidR="00B333A5" w:rsidRPr="0043678D">
        <w:rPr>
          <w:rFonts w:ascii="Abadi" w:hAnsi="Abadi"/>
          <w:sz w:val="24"/>
          <w:szCs w:val="24"/>
        </w:rPr>
        <w:t xml:space="preserve">resoluciones aprobadas en los últimos meses lo que puede permitir al lector recuperar memoria del </w:t>
      </w:r>
      <w:r w:rsidR="00C53F0B" w:rsidRPr="0043678D">
        <w:rPr>
          <w:rFonts w:ascii="Abadi" w:hAnsi="Abadi"/>
          <w:sz w:val="24"/>
          <w:szCs w:val="24"/>
        </w:rPr>
        <w:t>posicionamiento de los tribunales de recursos en la cuestión, detectar algunas diferencias en l</w:t>
      </w:r>
      <w:r w:rsidR="00414DE3">
        <w:rPr>
          <w:rFonts w:ascii="Abadi" w:hAnsi="Abadi"/>
          <w:sz w:val="24"/>
          <w:szCs w:val="24"/>
        </w:rPr>
        <w:t>as consideraciones</w:t>
      </w:r>
      <w:r w:rsidR="00C53F0B" w:rsidRPr="0043678D">
        <w:rPr>
          <w:rFonts w:ascii="Abadi" w:hAnsi="Abadi"/>
          <w:sz w:val="24"/>
          <w:szCs w:val="24"/>
        </w:rPr>
        <w:t xml:space="preserve"> </w:t>
      </w:r>
      <w:r w:rsidR="00681F42" w:rsidRPr="0043678D">
        <w:rPr>
          <w:rFonts w:ascii="Abadi" w:hAnsi="Abadi"/>
          <w:sz w:val="24"/>
          <w:szCs w:val="24"/>
        </w:rPr>
        <w:t xml:space="preserve">y revisar sus propias prácticas si </w:t>
      </w:r>
      <w:r w:rsidR="00ED195F">
        <w:rPr>
          <w:rFonts w:ascii="Abadi" w:hAnsi="Abadi"/>
          <w:sz w:val="24"/>
          <w:szCs w:val="24"/>
        </w:rPr>
        <w:t xml:space="preserve">es </w:t>
      </w:r>
      <w:r w:rsidR="00681F42" w:rsidRPr="0043678D">
        <w:rPr>
          <w:rFonts w:ascii="Abadi" w:hAnsi="Abadi"/>
          <w:sz w:val="24"/>
          <w:szCs w:val="24"/>
        </w:rPr>
        <w:t>gestor de contratación pública</w:t>
      </w:r>
      <w:r w:rsidR="00C53F0B" w:rsidRPr="0043678D">
        <w:rPr>
          <w:rFonts w:ascii="Abadi" w:hAnsi="Abadi"/>
          <w:sz w:val="24"/>
          <w:szCs w:val="24"/>
        </w:rPr>
        <w:t>.</w:t>
      </w:r>
    </w:p>
    <w:p w14:paraId="4EA7D497" w14:textId="4CBCC2F3" w:rsidR="00774200" w:rsidRPr="0043678D" w:rsidRDefault="00774200" w:rsidP="00015DD4">
      <w:pPr>
        <w:jc w:val="both"/>
        <w:rPr>
          <w:rFonts w:ascii="Abadi" w:hAnsi="Abadi"/>
          <w:sz w:val="24"/>
          <w:szCs w:val="24"/>
        </w:rPr>
      </w:pPr>
      <w:r w:rsidRPr="0043678D">
        <w:rPr>
          <w:rFonts w:ascii="Abadi" w:hAnsi="Abadi"/>
          <w:sz w:val="24"/>
          <w:szCs w:val="24"/>
        </w:rPr>
        <w:t xml:space="preserve">Por si el lector no </w:t>
      </w:r>
      <w:r w:rsidR="003F523E">
        <w:rPr>
          <w:rFonts w:ascii="Abadi" w:hAnsi="Abadi"/>
          <w:sz w:val="24"/>
          <w:szCs w:val="24"/>
        </w:rPr>
        <w:t>lee</w:t>
      </w:r>
      <w:r w:rsidRPr="0043678D">
        <w:rPr>
          <w:rFonts w:ascii="Abadi" w:hAnsi="Abadi"/>
          <w:sz w:val="24"/>
          <w:szCs w:val="24"/>
        </w:rPr>
        <w:t xml:space="preserve"> las resoluciones que se referirán hay que </w:t>
      </w:r>
      <w:r w:rsidR="007B0525" w:rsidRPr="0043678D">
        <w:rPr>
          <w:rFonts w:ascii="Abadi" w:hAnsi="Abadi"/>
          <w:sz w:val="24"/>
          <w:szCs w:val="24"/>
        </w:rPr>
        <w:t xml:space="preserve">recordar que </w:t>
      </w:r>
      <w:r w:rsidR="002548D9">
        <w:rPr>
          <w:rFonts w:ascii="Abadi" w:hAnsi="Abadi"/>
          <w:sz w:val="24"/>
          <w:szCs w:val="24"/>
        </w:rPr>
        <w:t xml:space="preserve">el supuesto que se estudia en esta nota </w:t>
      </w:r>
      <w:r w:rsidR="003F523E">
        <w:rPr>
          <w:rFonts w:ascii="Abadi" w:hAnsi="Abadi"/>
          <w:sz w:val="24"/>
          <w:szCs w:val="24"/>
        </w:rPr>
        <w:t>se refiere a</w:t>
      </w:r>
      <w:r w:rsidR="002548D9">
        <w:rPr>
          <w:rFonts w:ascii="Abadi" w:hAnsi="Abadi"/>
          <w:sz w:val="24"/>
          <w:szCs w:val="24"/>
        </w:rPr>
        <w:t xml:space="preserve"> la mejora </w:t>
      </w:r>
      <w:r w:rsidR="003F523E">
        <w:rPr>
          <w:rFonts w:ascii="Abadi" w:hAnsi="Abadi"/>
          <w:sz w:val="24"/>
          <w:szCs w:val="24"/>
        </w:rPr>
        <w:t>planteada</w:t>
      </w:r>
      <w:r w:rsidR="002548D9" w:rsidRPr="0043678D">
        <w:rPr>
          <w:rFonts w:ascii="Abadi" w:hAnsi="Abadi"/>
          <w:sz w:val="24"/>
          <w:szCs w:val="24"/>
        </w:rPr>
        <w:t xml:space="preserve"> </w:t>
      </w:r>
      <w:r w:rsidR="002548D9">
        <w:rPr>
          <w:rFonts w:ascii="Abadi" w:hAnsi="Abadi"/>
          <w:sz w:val="24"/>
          <w:szCs w:val="24"/>
        </w:rPr>
        <w:t xml:space="preserve">como </w:t>
      </w:r>
      <w:r w:rsidR="007B0525" w:rsidRPr="0043678D">
        <w:rPr>
          <w:rFonts w:ascii="Abadi" w:hAnsi="Abadi"/>
          <w:sz w:val="24"/>
          <w:szCs w:val="24"/>
        </w:rPr>
        <w:t xml:space="preserve">criterio de adjudicación y, </w:t>
      </w:r>
      <w:r w:rsidR="002548D9">
        <w:rPr>
          <w:rFonts w:ascii="Abadi" w:hAnsi="Abadi"/>
          <w:sz w:val="24"/>
          <w:szCs w:val="24"/>
        </w:rPr>
        <w:t>por ello,</w:t>
      </w:r>
      <w:r w:rsidR="007B0525" w:rsidRPr="0043678D">
        <w:rPr>
          <w:rFonts w:ascii="Abadi" w:hAnsi="Abadi"/>
          <w:sz w:val="24"/>
          <w:szCs w:val="24"/>
        </w:rPr>
        <w:t xml:space="preserve"> es imprescindible referir la regulación del art. </w:t>
      </w:r>
      <w:r w:rsidR="007B63DB" w:rsidRPr="0043678D">
        <w:rPr>
          <w:rFonts w:ascii="Abadi" w:hAnsi="Abadi"/>
          <w:sz w:val="24"/>
          <w:szCs w:val="24"/>
        </w:rPr>
        <w:t>145.7 LCSP</w:t>
      </w:r>
      <w:r w:rsidR="00C63153">
        <w:rPr>
          <w:rFonts w:ascii="Abadi" w:hAnsi="Abadi"/>
          <w:sz w:val="24"/>
          <w:szCs w:val="24"/>
        </w:rPr>
        <w:t xml:space="preserve"> porque</w:t>
      </w:r>
      <w:r w:rsidR="005F243B" w:rsidRPr="0043678D">
        <w:rPr>
          <w:rFonts w:ascii="Abadi" w:hAnsi="Abadi"/>
          <w:sz w:val="24"/>
          <w:szCs w:val="24"/>
        </w:rPr>
        <w:t xml:space="preserve"> el debate </w:t>
      </w:r>
      <w:r w:rsidR="00524C14" w:rsidRPr="0043678D">
        <w:rPr>
          <w:rFonts w:ascii="Abadi" w:hAnsi="Abadi"/>
          <w:sz w:val="24"/>
          <w:szCs w:val="24"/>
        </w:rPr>
        <w:t xml:space="preserve">ente las partes recurrentes </w:t>
      </w:r>
      <w:r w:rsidR="00EA48DC">
        <w:rPr>
          <w:rFonts w:ascii="Abadi" w:hAnsi="Abadi"/>
          <w:sz w:val="24"/>
          <w:szCs w:val="24"/>
        </w:rPr>
        <w:t>se produce</w:t>
      </w:r>
      <w:r w:rsidR="00C63153">
        <w:rPr>
          <w:rFonts w:ascii="Abadi" w:hAnsi="Abadi"/>
          <w:sz w:val="24"/>
          <w:szCs w:val="24"/>
        </w:rPr>
        <w:t xml:space="preserve"> </w:t>
      </w:r>
      <w:r w:rsidR="005F243B" w:rsidRPr="0043678D">
        <w:rPr>
          <w:rFonts w:ascii="Abadi" w:hAnsi="Abadi"/>
          <w:sz w:val="24"/>
          <w:szCs w:val="24"/>
        </w:rPr>
        <w:t xml:space="preserve">sobre </w:t>
      </w:r>
      <w:r w:rsidR="00554BC5" w:rsidRPr="0043678D">
        <w:rPr>
          <w:rFonts w:ascii="Abadi" w:hAnsi="Abadi"/>
          <w:sz w:val="24"/>
          <w:szCs w:val="24"/>
        </w:rPr>
        <w:t>l</w:t>
      </w:r>
      <w:r w:rsidR="007F3B39">
        <w:rPr>
          <w:rFonts w:ascii="Abadi" w:hAnsi="Abadi"/>
          <w:sz w:val="24"/>
          <w:szCs w:val="24"/>
        </w:rPr>
        <w:t>a exigencia de</w:t>
      </w:r>
      <w:r w:rsidR="00554BC5" w:rsidRPr="0043678D">
        <w:rPr>
          <w:rFonts w:ascii="Abadi" w:hAnsi="Abadi"/>
          <w:sz w:val="24"/>
          <w:szCs w:val="24"/>
        </w:rPr>
        <w:t xml:space="preserve"> </w:t>
      </w:r>
      <w:r w:rsidR="00AB4668" w:rsidRPr="0043678D">
        <w:rPr>
          <w:rFonts w:ascii="Abadi" w:hAnsi="Abadi"/>
          <w:sz w:val="24"/>
          <w:szCs w:val="24"/>
        </w:rPr>
        <w:t>límites</w:t>
      </w:r>
      <w:r w:rsidR="00554BC5" w:rsidRPr="0043678D">
        <w:rPr>
          <w:rFonts w:ascii="Abadi" w:hAnsi="Abadi"/>
          <w:sz w:val="24"/>
          <w:szCs w:val="24"/>
        </w:rPr>
        <w:t xml:space="preserve"> </w:t>
      </w:r>
      <w:r w:rsidR="007F3B39">
        <w:rPr>
          <w:rFonts w:ascii="Abadi" w:hAnsi="Abadi"/>
          <w:sz w:val="24"/>
          <w:szCs w:val="24"/>
        </w:rPr>
        <w:t xml:space="preserve">máximos </w:t>
      </w:r>
      <w:r w:rsidR="00554BC5" w:rsidRPr="0043678D">
        <w:rPr>
          <w:rFonts w:ascii="Abadi" w:hAnsi="Abadi"/>
          <w:sz w:val="24"/>
          <w:szCs w:val="24"/>
        </w:rPr>
        <w:t xml:space="preserve">en las mejoras </w:t>
      </w:r>
      <w:r w:rsidR="00D21CE7" w:rsidRPr="0043678D">
        <w:rPr>
          <w:rFonts w:ascii="Abadi" w:hAnsi="Abadi"/>
          <w:sz w:val="24"/>
          <w:szCs w:val="24"/>
        </w:rPr>
        <w:t>(desarrollaremos la cuestión seguidamente)</w:t>
      </w:r>
      <w:r w:rsidR="005C4B20">
        <w:rPr>
          <w:rFonts w:ascii="Abadi" w:hAnsi="Abadi"/>
          <w:sz w:val="24"/>
          <w:szCs w:val="24"/>
        </w:rPr>
        <w:t xml:space="preserve"> </w:t>
      </w:r>
      <w:r w:rsidR="009A3909">
        <w:rPr>
          <w:rFonts w:ascii="Abadi" w:hAnsi="Abadi" w:cs="Segoe UI Symbol"/>
          <w:sz w:val="24"/>
          <w:szCs w:val="24"/>
        </w:rPr>
        <w:t>en base a</w:t>
      </w:r>
      <w:r w:rsidR="005C4B20">
        <w:rPr>
          <w:rFonts w:ascii="Segoe UI Symbol" w:hAnsi="Segoe UI Symbol" w:cs="Segoe UI Symbol"/>
          <w:sz w:val="24"/>
          <w:szCs w:val="24"/>
        </w:rPr>
        <w:t xml:space="preserve"> </w:t>
      </w:r>
      <w:r w:rsidR="009A3909">
        <w:rPr>
          <w:rFonts w:ascii="Abadi" w:hAnsi="Abadi" w:cs="Segoe UI Symbol"/>
          <w:sz w:val="24"/>
          <w:szCs w:val="24"/>
        </w:rPr>
        <w:t xml:space="preserve">la invocación </w:t>
      </w:r>
      <w:r w:rsidR="005C4B20">
        <w:rPr>
          <w:rFonts w:ascii="Abadi" w:hAnsi="Abadi"/>
          <w:sz w:val="24"/>
          <w:szCs w:val="24"/>
        </w:rPr>
        <w:t>del primer párrafo de este apartado</w:t>
      </w:r>
      <w:r w:rsidR="00CE4FE6">
        <w:rPr>
          <w:rFonts w:ascii="Abadi" w:hAnsi="Abadi"/>
          <w:sz w:val="24"/>
          <w:szCs w:val="24"/>
        </w:rPr>
        <w:t xml:space="preserve"> 7</w:t>
      </w:r>
      <w:r w:rsidR="00554BC5" w:rsidRPr="0043678D">
        <w:rPr>
          <w:rFonts w:ascii="Abadi" w:hAnsi="Abadi"/>
          <w:sz w:val="24"/>
          <w:szCs w:val="24"/>
        </w:rPr>
        <w:t xml:space="preserve">: “En el caso de que se establezcan las mejoras como criterio de adjudicación, estas deberán estar suficientemente especificadas. Se considerará que se cumple esta exigencia cuando se fijen, de manera ponderada, con concreción: los requisitos, </w:t>
      </w:r>
      <w:r w:rsidR="00554BC5" w:rsidRPr="0043678D">
        <w:rPr>
          <w:rFonts w:ascii="Abadi" w:hAnsi="Abadi"/>
          <w:b/>
          <w:bCs/>
          <w:i/>
          <w:iCs/>
          <w:sz w:val="24"/>
          <w:szCs w:val="24"/>
        </w:rPr>
        <w:t>límites</w:t>
      </w:r>
      <w:r w:rsidR="00554BC5" w:rsidRPr="0043678D">
        <w:rPr>
          <w:rFonts w:ascii="Abadi" w:hAnsi="Abadi"/>
          <w:sz w:val="24"/>
          <w:szCs w:val="24"/>
        </w:rPr>
        <w:t>, modalidades y características de las mismas, así como su necesaria vinculación con el objeto del contrato</w:t>
      </w:r>
      <w:r w:rsidR="00AB4668" w:rsidRPr="0043678D">
        <w:rPr>
          <w:rFonts w:ascii="Abadi" w:hAnsi="Abadi"/>
          <w:sz w:val="24"/>
          <w:szCs w:val="24"/>
        </w:rPr>
        <w:t>”</w:t>
      </w:r>
      <w:r w:rsidR="00404221" w:rsidRPr="0043678D">
        <w:rPr>
          <w:rFonts w:ascii="Abadi" w:hAnsi="Abadi"/>
          <w:sz w:val="24"/>
          <w:szCs w:val="24"/>
        </w:rPr>
        <w:t xml:space="preserve">. También otro elemento de </w:t>
      </w:r>
      <w:r w:rsidR="004550A2">
        <w:rPr>
          <w:rFonts w:ascii="Abadi" w:hAnsi="Abadi"/>
          <w:sz w:val="24"/>
          <w:szCs w:val="24"/>
        </w:rPr>
        <w:t>debate e interpretación</w:t>
      </w:r>
      <w:r w:rsidR="00404221" w:rsidRPr="0043678D">
        <w:rPr>
          <w:rFonts w:ascii="Abadi" w:hAnsi="Abadi"/>
          <w:sz w:val="24"/>
          <w:szCs w:val="24"/>
        </w:rPr>
        <w:t xml:space="preserve"> es la cuestión del propio concepto de “mejora” </w:t>
      </w:r>
      <w:r w:rsidR="00056A2F" w:rsidRPr="0043678D">
        <w:rPr>
          <w:rFonts w:ascii="Abadi" w:hAnsi="Abadi"/>
          <w:sz w:val="24"/>
          <w:szCs w:val="24"/>
        </w:rPr>
        <w:t>y</w:t>
      </w:r>
      <w:r w:rsidR="004550A2">
        <w:rPr>
          <w:rFonts w:ascii="Abadi" w:hAnsi="Abadi"/>
          <w:sz w:val="24"/>
          <w:szCs w:val="24"/>
        </w:rPr>
        <w:t>,</w:t>
      </w:r>
      <w:r w:rsidR="00056A2F" w:rsidRPr="0043678D">
        <w:rPr>
          <w:rFonts w:ascii="Abadi" w:hAnsi="Abadi"/>
          <w:sz w:val="24"/>
          <w:szCs w:val="24"/>
        </w:rPr>
        <w:t xml:space="preserve"> concretamente</w:t>
      </w:r>
      <w:r w:rsidR="004550A2">
        <w:rPr>
          <w:rFonts w:ascii="Abadi" w:hAnsi="Abadi"/>
          <w:sz w:val="24"/>
          <w:szCs w:val="24"/>
        </w:rPr>
        <w:t>,</w:t>
      </w:r>
      <w:r w:rsidR="00056A2F" w:rsidRPr="0043678D">
        <w:rPr>
          <w:rFonts w:ascii="Abadi" w:hAnsi="Abadi"/>
          <w:sz w:val="24"/>
          <w:szCs w:val="24"/>
        </w:rPr>
        <w:t xml:space="preserve"> cuándo nos hallamos ante unas “prestaciones adicionales” </w:t>
      </w:r>
      <w:r w:rsidR="00404221" w:rsidRPr="0043678D">
        <w:rPr>
          <w:rFonts w:ascii="Abadi" w:hAnsi="Abadi"/>
          <w:sz w:val="24"/>
          <w:szCs w:val="24"/>
        </w:rPr>
        <w:t>atendiendo que el tercer párrafo del apartado 7 referido afirma que, “</w:t>
      </w:r>
      <w:r w:rsidR="0097547A" w:rsidRPr="0043678D">
        <w:rPr>
          <w:rFonts w:ascii="Abadi" w:hAnsi="Abadi"/>
          <w:i/>
          <w:iCs/>
          <w:sz w:val="24"/>
          <w:szCs w:val="24"/>
        </w:rPr>
        <w:t xml:space="preserve">Se entiende por mejoras, a estos efectos, </w:t>
      </w:r>
      <w:r w:rsidR="0097547A" w:rsidRPr="0043678D">
        <w:rPr>
          <w:rFonts w:ascii="Abadi" w:hAnsi="Abadi"/>
          <w:b/>
          <w:bCs/>
          <w:i/>
          <w:iCs/>
          <w:sz w:val="24"/>
          <w:szCs w:val="24"/>
        </w:rPr>
        <w:t>las prestaciones adicionales</w:t>
      </w:r>
      <w:r w:rsidR="0097547A" w:rsidRPr="0043678D">
        <w:rPr>
          <w:rFonts w:ascii="Abadi" w:hAnsi="Abadi"/>
          <w:i/>
          <w:iCs/>
          <w:sz w:val="24"/>
          <w:szCs w:val="24"/>
        </w:rPr>
        <w:t xml:space="preserve"> a las que figuraban definidas en el proyecto y en el pliego de prescripciones técnicas, sin que aquellas puedan alterar la naturaleza de dichas prestaciones, ni del objeto del contrato</w:t>
      </w:r>
      <w:r w:rsidR="0097547A" w:rsidRPr="0043678D">
        <w:rPr>
          <w:rFonts w:ascii="Abadi" w:hAnsi="Abadi"/>
          <w:sz w:val="24"/>
          <w:szCs w:val="24"/>
        </w:rPr>
        <w:t>.”</w:t>
      </w:r>
    </w:p>
    <w:p w14:paraId="7EBD0CB7" w14:textId="68E6AFFE" w:rsidR="0097547A" w:rsidRPr="0043678D" w:rsidRDefault="004C5EC3" w:rsidP="004C5EC3">
      <w:pPr>
        <w:pStyle w:val="Pargrafdellista"/>
        <w:numPr>
          <w:ilvl w:val="0"/>
          <w:numId w:val="2"/>
        </w:numPr>
        <w:jc w:val="both"/>
        <w:rPr>
          <w:rFonts w:ascii="Abadi" w:hAnsi="Abadi"/>
          <w:sz w:val="24"/>
          <w:szCs w:val="24"/>
        </w:rPr>
      </w:pPr>
      <w:r w:rsidRPr="0043678D">
        <w:rPr>
          <w:rFonts w:ascii="Abadi" w:hAnsi="Abadi"/>
          <w:sz w:val="24"/>
          <w:szCs w:val="24"/>
        </w:rPr>
        <w:t>Prestaciones adicionales.</w:t>
      </w:r>
    </w:p>
    <w:p w14:paraId="4C89C612" w14:textId="08AA8B75" w:rsidR="004C5EC3" w:rsidRPr="0043678D" w:rsidRDefault="004C5EC3" w:rsidP="004C5EC3">
      <w:pPr>
        <w:jc w:val="both"/>
        <w:rPr>
          <w:rFonts w:ascii="Abadi" w:hAnsi="Abadi"/>
          <w:sz w:val="24"/>
          <w:szCs w:val="24"/>
        </w:rPr>
      </w:pPr>
      <w:r w:rsidRPr="0043678D">
        <w:rPr>
          <w:rFonts w:ascii="Abadi" w:hAnsi="Abadi"/>
          <w:sz w:val="24"/>
          <w:szCs w:val="24"/>
        </w:rPr>
        <w:t>El Tribunal Administrativo Central de Recursos Contractuales (T</w:t>
      </w:r>
      <w:r w:rsidR="00A54626">
        <w:rPr>
          <w:rFonts w:ascii="Abadi" w:hAnsi="Abadi"/>
          <w:sz w:val="24"/>
          <w:szCs w:val="24"/>
        </w:rPr>
        <w:t>ACRC</w:t>
      </w:r>
      <w:r w:rsidRPr="0043678D">
        <w:rPr>
          <w:rFonts w:ascii="Abadi" w:hAnsi="Abadi"/>
          <w:sz w:val="24"/>
          <w:szCs w:val="24"/>
        </w:rPr>
        <w:t xml:space="preserve">) </w:t>
      </w:r>
      <w:r w:rsidR="006D2612" w:rsidRPr="0043678D">
        <w:rPr>
          <w:rFonts w:ascii="Abadi" w:hAnsi="Abadi"/>
          <w:sz w:val="24"/>
          <w:szCs w:val="24"/>
        </w:rPr>
        <w:t>en resolución</w:t>
      </w:r>
      <w:r w:rsidR="000F09A7" w:rsidRPr="0043678D">
        <w:rPr>
          <w:rFonts w:ascii="Abadi" w:hAnsi="Abadi"/>
          <w:sz w:val="24"/>
          <w:szCs w:val="24"/>
        </w:rPr>
        <w:t xml:space="preserve"> </w:t>
      </w:r>
      <w:r w:rsidR="00046049" w:rsidRPr="0043678D">
        <w:rPr>
          <w:rFonts w:ascii="Abadi" w:hAnsi="Abadi"/>
          <w:sz w:val="24"/>
          <w:szCs w:val="24"/>
        </w:rPr>
        <w:t>659/2023</w:t>
      </w:r>
      <w:r w:rsidR="00067F0D" w:rsidRPr="0043678D">
        <w:rPr>
          <w:rFonts w:ascii="Abadi" w:hAnsi="Abadi"/>
          <w:sz w:val="24"/>
          <w:szCs w:val="24"/>
        </w:rPr>
        <w:t>, de 25 de mayo,</w:t>
      </w:r>
      <w:r w:rsidR="00046049" w:rsidRPr="0043678D">
        <w:rPr>
          <w:rFonts w:ascii="Abadi" w:hAnsi="Abadi"/>
          <w:sz w:val="24"/>
          <w:szCs w:val="24"/>
        </w:rPr>
        <w:t xml:space="preserve"> con cita de otras muy </w:t>
      </w:r>
      <w:proofErr w:type="gramStart"/>
      <w:r w:rsidR="00046049" w:rsidRPr="0043678D">
        <w:rPr>
          <w:rFonts w:ascii="Abadi" w:hAnsi="Abadi"/>
          <w:sz w:val="24"/>
          <w:szCs w:val="24"/>
        </w:rPr>
        <w:t>anterior</w:t>
      </w:r>
      <w:r w:rsidR="00517544">
        <w:rPr>
          <w:rFonts w:ascii="Abadi" w:hAnsi="Abadi"/>
          <w:sz w:val="24"/>
          <w:szCs w:val="24"/>
        </w:rPr>
        <w:t>es</w:t>
      </w:r>
      <w:proofErr w:type="gramEnd"/>
      <w:r w:rsidR="00517544">
        <w:rPr>
          <w:rFonts w:ascii="Abadi" w:hAnsi="Abadi"/>
          <w:sz w:val="24"/>
          <w:szCs w:val="24"/>
        </w:rPr>
        <w:t xml:space="preserve"> </w:t>
      </w:r>
      <w:r w:rsidR="00046049" w:rsidRPr="0043678D">
        <w:rPr>
          <w:rFonts w:ascii="Abadi" w:hAnsi="Abadi"/>
          <w:sz w:val="24"/>
          <w:szCs w:val="24"/>
        </w:rPr>
        <w:t>por tanto</w:t>
      </w:r>
      <w:r w:rsidR="00746642" w:rsidRPr="0043678D">
        <w:rPr>
          <w:rFonts w:ascii="Abadi" w:hAnsi="Abadi"/>
          <w:sz w:val="24"/>
          <w:szCs w:val="24"/>
        </w:rPr>
        <w:t>,</w:t>
      </w:r>
      <w:r w:rsidR="00046049" w:rsidRPr="0043678D">
        <w:rPr>
          <w:rFonts w:ascii="Abadi" w:hAnsi="Abadi"/>
          <w:sz w:val="24"/>
          <w:szCs w:val="24"/>
        </w:rPr>
        <w:t xml:space="preserve"> doctrina muy consolidada)</w:t>
      </w:r>
      <w:r w:rsidR="00477610" w:rsidRPr="0043678D">
        <w:rPr>
          <w:rFonts w:ascii="Abadi" w:hAnsi="Abadi"/>
          <w:sz w:val="24"/>
          <w:szCs w:val="24"/>
        </w:rPr>
        <w:t xml:space="preserve"> afirma</w:t>
      </w:r>
      <w:r w:rsidR="00046049" w:rsidRPr="0043678D">
        <w:rPr>
          <w:rFonts w:ascii="Abadi" w:hAnsi="Abadi"/>
          <w:sz w:val="24"/>
          <w:szCs w:val="24"/>
        </w:rPr>
        <w:t xml:space="preserve"> que </w:t>
      </w:r>
      <w:r w:rsidR="00121D74" w:rsidRPr="0043678D">
        <w:rPr>
          <w:rFonts w:ascii="Abadi" w:hAnsi="Abadi"/>
          <w:sz w:val="24"/>
          <w:szCs w:val="24"/>
        </w:rPr>
        <w:t>sólo puede</w:t>
      </w:r>
      <w:r w:rsidR="001F70D9">
        <w:rPr>
          <w:rFonts w:ascii="Abadi" w:hAnsi="Abadi"/>
          <w:sz w:val="24"/>
          <w:szCs w:val="24"/>
        </w:rPr>
        <w:t>n</w:t>
      </w:r>
      <w:r w:rsidR="00121D74" w:rsidRPr="0043678D">
        <w:rPr>
          <w:rFonts w:ascii="Abadi" w:hAnsi="Abadi"/>
          <w:sz w:val="24"/>
          <w:szCs w:val="24"/>
        </w:rPr>
        <w:t xml:space="preserve"> </w:t>
      </w:r>
      <w:r w:rsidR="001F70D9">
        <w:rPr>
          <w:rFonts w:ascii="Abadi" w:hAnsi="Abadi"/>
          <w:sz w:val="24"/>
          <w:szCs w:val="24"/>
        </w:rPr>
        <w:t>aplicarse</w:t>
      </w:r>
      <w:r w:rsidR="00121D74" w:rsidRPr="0043678D">
        <w:rPr>
          <w:rFonts w:ascii="Abadi" w:hAnsi="Abadi"/>
          <w:sz w:val="24"/>
          <w:szCs w:val="24"/>
        </w:rPr>
        <w:t xml:space="preserve"> los requisitos del apartado </w:t>
      </w:r>
      <w:r w:rsidR="00D078A0" w:rsidRPr="0043678D">
        <w:rPr>
          <w:rFonts w:ascii="Abadi" w:hAnsi="Abadi"/>
          <w:sz w:val="24"/>
          <w:szCs w:val="24"/>
        </w:rPr>
        <w:t xml:space="preserve">7 del art. 145 LCSP </w:t>
      </w:r>
      <w:r w:rsidR="00B83B87" w:rsidRPr="0043678D">
        <w:rPr>
          <w:rFonts w:ascii="Abadi" w:hAnsi="Abadi"/>
          <w:sz w:val="24"/>
          <w:szCs w:val="24"/>
        </w:rPr>
        <w:t xml:space="preserve">y, especialmente, la </w:t>
      </w:r>
      <w:r w:rsidR="00D078A0" w:rsidRPr="0043678D">
        <w:rPr>
          <w:rFonts w:ascii="Abadi" w:hAnsi="Abadi"/>
          <w:sz w:val="24"/>
          <w:szCs w:val="24"/>
        </w:rPr>
        <w:t xml:space="preserve">exigencia de límites, cuando </w:t>
      </w:r>
      <w:r w:rsidR="009739BF" w:rsidRPr="0043678D">
        <w:rPr>
          <w:rFonts w:ascii="Abadi" w:hAnsi="Abadi"/>
          <w:sz w:val="24"/>
          <w:szCs w:val="24"/>
        </w:rPr>
        <w:t xml:space="preserve">la mejora </w:t>
      </w:r>
      <w:r w:rsidR="00B83B87" w:rsidRPr="0043678D">
        <w:rPr>
          <w:rFonts w:ascii="Abadi" w:hAnsi="Abadi"/>
          <w:sz w:val="24"/>
          <w:szCs w:val="24"/>
        </w:rPr>
        <w:t xml:space="preserve">sea </w:t>
      </w:r>
      <w:r w:rsidR="009739BF" w:rsidRPr="0043678D">
        <w:rPr>
          <w:rFonts w:ascii="Abadi" w:hAnsi="Abadi"/>
          <w:sz w:val="24"/>
          <w:szCs w:val="24"/>
        </w:rPr>
        <w:t>una prestación adicional, es decir, en la interpretación del TACRC</w:t>
      </w:r>
      <w:r w:rsidR="00677ABE" w:rsidRPr="0043678D">
        <w:rPr>
          <w:rFonts w:ascii="Abadi" w:hAnsi="Abadi"/>
          <w:sz w:val="24"/>
          <w:szCs w:val="24"/>
        </w:rPr>
        <w:t xml:space="preserve">, </w:t>
      </w:r>
      <w:r w:rsidR="00677ABE" w:rsidRPr="001F70D9">
        <w:rPr>
          <w:rFonts w:ascii="Abadi" w:hAnsi="Abadi"/>
          <w:sz w:val="24"/>
          <w:szCs w:val="24"/>
          <w:u w:val="single"/>
        </w:rPr>
        <w:t>una prestación no definida en el pliego de prescripciones técnicas</w:t>
      </w:r>
      <w:r w:rsidR="00677ABE" w:rsidRPr="0043678D">
        <w:rPr>
          <w:rFonts w:ascii="Abadi" w:hAnsi="Abadi"/>
          <w:sz w:val="24"/>
          <w:szCs w:val="24"/>
        </w:rPr>
        <w:t xml:space="preserve">.  </w:t>
      </w:r>
    </w:p>
    <w:p w14:paraId="1435B79D" w14:textId="74679E2B" w:rsidR="001B1477" w:rsidRPr="0043678D" w:rsidRDefault="00B11700" w:rsidP="004C5EC3">
      <w:pPr>
        <w:jc w:val="both"/>
        <w:rPr>
          <w:rFonts w:ascii="Abadi" w:hAnsi="Abadi"/>
          <w:sz w:val="24"/>
          <w:szCs w:val="24"/>
        </w:rPr>
      </w:pPr>
      <w:r w:rsidRPr="0043678D">
        <w:rPr>
          <w:rFonts w:ascii="Abadi" w:hAnsi="Abadi"/>
          <w:sz w:val="24"/>
          <w:szCs w:val="24"/>
        </w:rPr>
        <w:lastRenderedPageBreak/>
        <w:t>Cuando la oferta amplía</w:t>
      </w:r>
      <w:r w:rsidR="0005630A" w:rsidRPr="0043678D">
        <w:rPr>
          <w:rFonts w:ascii="Abadi" w:hAnsi="Abadi"/>
          <w:sz w:val="24"/>
          <w:szCs w:val="24"/>
        </w:rPr>
        <w:t xml:space="preserve"> </w:t>
      </w:r>
      <w:r w:rsidR="00915FC9" w:rsidRPr="0043678D">
        <w:rPr>
          <w:rFonts w:ascii="Abadi" w:hAnsi="Abadi"/>
          <w:sz w:val="24"/>
          <w:szCs w:val="24"/>
        </w:rPr>
        <w:t xml:space="preserve">las </w:t>
      </w:r>
      <w:r w:rsidR="001B1477" w:rsidRPr="0043678D">
        <w:rPr>
          <w:rFonts w:ascii="Abadi" w:hAnsi="Abadi"/>
          <w:sz w:val="24"/>
          <w:szCs w:val="24"/>
        </w:rPr>
        <w:t xml:space="preserve">prestaciones ya incluidas en el objeto contractual que se licita </w:t>
      </w:r>
      <w:r w:rsidR="004C6D22" w:rsidRPr="0043678D">
        <w:rPr>
          <w:rFonts w:ascii="Abadi" w:hAnsi="Abadi"/>
          <w:sz w:val="24"/>
          <w:szCs w:val="24"/>
        </w:rPr>
        <w:t>no serán así</w:t>
      </w:r>
      <w:r w:rsidRPr="0043678D">
        <w:rPr>
          <w:rFonts w:ascii="Abadi" w:hAnsi="Abadi"/>
          <w:sz w:val="24"/>
          <w:szCs w:val="24"/>
        </w:rPr>
        <w:t xml:space="preserve">, siempre en la interpretación del TACRC, propiamente </w:t>
      </w:r>
      <w:r w:rsidR="004C6D22" w:rsidRPr="0043678D">
        <w:rPr>
          <w:rFonts w:ascii="Abadi" w:hAnsi="Abadi"/>
          <w:sz w:val="24"/>
          <w:szCs w:val="24"/>
        </w:rPr>
        <w:t xml:space="preserve">mejoras en </w:t>
      </w:r>
      <w:r w:rsidR="005F4304" w:rsidRPr="0043678D">
        <w:rPr>
          <w:rFonts w:ascii="Abadi" w:hAnsi="Abadi"/>
          <w:sz w:val="24"/>
          <w:szCs w:val="24"/>
        </w:rPr>
        <w:t>el s</w:t>
      </w:r>
      <w:r w:rsidR="004C6D22" w:rsidRPr="0043678D">
        <w:rPr>
          <w:rFonts w:ascii="Abadi" w:hAnsi="Abadi"/>
          <w:sz w:val="24"/>
          <w:szCs w:val="24"/>
        </w:rPr>
        <w:t>entido del art. 145.7</w:t>
      </w:r>
      <w:r w:rsidR="00915FC9" w:rsidRPr="0043678D">
        <w:rPr>
          <w:rFonts w:ascii="Abadi" w:hAnsi="Abadi"/>
          <w:sz w:val="24"/>
          <w:szCs w:val="24"/>
        </w:rPr>
        <w:t xml:space="preserve"> LCSP</w:t>
      </w:r>
      <w:r w:rsidR="005F4304" w:rsidRPr="0043678D">
        <w:rPr>
          <w:rFonts w:ascii="Abadi" w:hAnsi="Abadi"/>
          <w:sz w:val="24"/>
          <w:szCs w:val="24"/>
        </w:rPr>
        <w:t xml:space="preserve"> y</w:t>
      </w:r>
      <w:r w:rsidR="00BC7817">
        <w:rPr>
          <w:rFonts w:ascii="Abadi" w:hAnsi="Abadi"/>
          <w:sz w:val="24"/>
          <w:szCs w:val="24"/>
        </w:rPr>
        <w:t>,</w:t>
      </w:r>
      <w:r w:rsidR="005F4304" w:rsidRPr="0043678D">
        <w:rPr>
          <w:rFonts w:ascii="Abadi" w:hAnsi="Abadi"/>
          <w:sz w:val="24"/>
          <w:szCs w:val="24"/>
        </w:rPr>
        <w:t xml:space="preserve"> por tanto</w:t>
      </w:r>
      <w:r w:rsidR="00BC7817">
        <w:rPr>
          <w:rFonts w:ascii="Abadi" w:hAnsi="Abadi"/>
          <w:sz w:val="24"/>
          <w:szCs w:val="24"/>
        </w:rPr>
        <w:t>,</w:t>
      </w:r>
      <w:r w:rsidR="004C6D22" w:rsidRPr="0043678D">
        <w:rPr>
          <w:rFonts w:ascii="Abadi" w:hAnsi="Abadi"/>
          <w:sz w:val="24"/>
          <w:szCs w:val="24"/>
        </w:rPr>
        <w:t xml:space="preserve"> no será exigible </w:t>
      </w:r>
      <w:r w:rsidR="005F4304" w:rsidRPr="0043678D">
        <w:rPr>
          <w:rFonts w:ascii="Abadi" w:hAnsi="Abadi"/>
          <w:sz w:val="24"/>
          <w:szCs w:val="24"/>
        </w:rPr>
        <w:t xml:space="preserve">para la ponderación de dichas mejoras </w:t>
      </w:r>
      <w:r w:rsidR="004C6D22" w:rsidRPr="0043678D">
        <w:rPr>
          <w:rFonts w:ascii="Abadi" w:hAnsi="Abadi"/>
          <w:sz w:val="24"/>
          <w:szCs w:val="24"/>
        </w:rPr>
        <w:t xml:space="preserve">el establecimiento de límites máximos </w:t>
      </w:r>
      <w:r w:rsidR="005F4304" w:rsidRPr="0043678D">
        <w:rPr>
          <w:rFonts w:ascii="Abadi" w:hAnsi="Abadi"/>
          <w:sz w:val="24"/>
          <w:szCs w:val="24"/>
        </w:rPr>
        <w:t xml:space="preserve">quedando </w:t>
      </w:r>
      <w:r w:rsidR="004C6D22" w:rsidRPr="0043678D">
        <w:rPr>
          <w:rFonts w:ascii="Abadi" w:hAnsi="Abadi"/>
          <w:sz w:val="24"/>
          <w:szCs w:val="24"/>
        </w:rPr>
        <w:t xml:space="preserve">el control de idoneidad </w:t>
      </w:r>
      <w:r w:rsidR="005F4304" w:rsidRPr="0043678D">
        <w:rPr>
          <w:rFonts w:ascii="Abadi" w:hAnsi="Abadi"/>
          <w:sz w:val="24"/>
          <w:szCs w:val="24"/>
        </w:rPr>
        <w:t>de la oferta</w:t>
      </w:r>
      <w:r w:rsidR="004C6D22" w:rsidRPr="0043678D">
        <w:rPr>
          <w:rFonts w:ascii="Abadi" w:hAnsi="Abadi"/>
          <w:sz w:val="24"/>
          <w:szCs w:val="24"/>
        </w:rPr>
        <w:t xml:space="preserve"> a la consideración de </w:t>
      </w:r>
      <w:r w:rsidR="00433741" w:rsidRPr="0043678D">
        <w:rPr>
          <w:rFonts w:ascii="Abadi" w:hAnsi="Abadi"/>
          <w:sz w:val="24"/>
          <w:szCs w:val="24"/>
        </w:rPr>
        <w:t xml:space="preserve">si se trata de una </w:t>
      </w:r>
      <w:r w:rsidR="004C6D22" w:rsidRPr="0043678D">
        <w:rPr>
          <w:rFonts w:ascii="Abadi" w:hAnsi="Abadi"/>
          <w:sz w:val="24"/>
          <w:szCs w:val="24"/>
        </w:rPr>
        <w:t>oferta anormalmente baja.</w:t>
      </w:r>
    </w:p>
    <w:p w14:paraId="766C4334" w14:textId="4CAC2B4C" w:rsidR="003B177B" w:rsidRPr="0043678D" w:rsidRDefault="002605BB" w:rsidP="004C5EC3">
      <w:pPr>
        <w:jc w:val="both"/>
        <w:rPr>
          <w:rFonts w:ascii="Abadi" w:hAnsi="Abadi"/>
          <w:i/>
          <w:iCs/>
          <w:sz w:val="24"/>
          <w:szCs w:val="24"/>
        </w:rPr>
      </w:pPr>
      <w:r w:rsidRPr="0043678D">
        <w:rPr>
          <w:rFonts w:ascii="Abadi" w:hAnsi="Abadi"/>
          <w:sz w:val="24"/>
          <w:szCs w:val="24"/>
        </w:rPr>
        <w:t xml:space="preserve">El criterio interpretativo del TACRC es </w:t>
      </w:r>
      <w:r w:rsidR="005A45C1" w:rsidRPr="0043678D">
        <w:rPr>
          <w:rFonts w:ascii="Abadi" w:hAnsi="Abadi"/>
          <w:sz w:val="24"/>
          <w:szCs w:val="24"/>
        </w:rPr>
        <w:t>el siguiente</w:t>
      </w:r>
      <w:r w:rsidR="00254B73">
        <w:rPr>
          <w:rFonts w:ascii="Abadi" w:hAnsi="Abadi"/>
          <w:sz w:val="24"/>
          <w:szCs w:val="24"/>
        </w:rPr>
        <w:t>:</w:t>
      </w:r>
    </w:p>
    <w:p w14:paraId="57CDA1D9" w14:textId="77777777" w:rsidR="005A45C1" w:rsidRPr="0043678D" w:rsidRDefault="005A45C1" w:rsidP="004C5EC3">
      <w:pPr>
        <w:jc w:val="both"/>
        <w:rPr>
          <w:rFonts w:ascii="Abadi" w:hAnsi="Abadi"/>
          <w:i/>
          <w:iCs/>
          <w:sz w:val="24"/>
          <w:szCs w:val="24"/>
        </w:rPr>
      </w:pPr>
      <w:r w:rsidRPr="0043678D">
        <w:rPr>
          <w:rFonts w:ascii="Abadi" w:hAnsi="Abadi"/>
          <w:i/>
          <w:iCs/>
          <w:sz w:val="24"/>
          <w:szCs w:val="24"/>
        </w:rPr>
        <w:t xml:space="preserve">“La expresión “prestaciones adicionales a las definidas en el proyecto” se puede entender de dos maneras distintas: </w:t>
      </w:r>
    </w:p>
    <w:p w14:paraId="18952840" w14:textId="77777777" w:rsidR="005A45C1" w:rsidRPr="0043678D" w:rsidRDefault="005A45C1" w:rsidP="004C5EC3">
      <w:pPr>
        <w:jc w:val="both"/>
        <w:rPr>
          <w:rFonts w:ascii="Abadi" w:hAnsi="Abadi"/>
          <w:i/>
          <w:iCs/>
          <w:sz w:val="24"/>
          <w:szCs w:val="24"/>
        </w:rPr>
      </w:pPr>
      <w:r w:rsidRPr="0043678D">
        <w:rPr>
          <w:rFonts w:ascii="Abadi" w:hAnsi="Abadi"/>
          <w:i/>
          <w:iCs/>
          <w:sz w:val="24"/>
          <w:szCs w:val="24"/>
        </w:rPr>
        <w:t xml:space="preserve">- Todas las adicionales que exceden de la prestación que los pliegos establecen como obligatoria, o </w:t>
      </w:r>
    </w:p>
    <w:p w14:paraId="0131C018" w14:textId="77777777" w:rsidR="00580FA0" w:rsidRPr="0043678D" w:rsidRDefault="005A45C1" w:rsidP="004C5EC3">
      <w:pPr>
        <w:jc w:val="both"/>
        <w:rPr>
          <w:rFonts w:ascii="Abadi" w:hAnsi="Abadi"/>
          <w:i/>
          <w:iCs/>
          <w:sz w:val="24"/>
          <w:szCs w:val="24"/>
        </w:rPr>
      </w:pPr>
      <w:r w:rsidRPr="0043678D">
        <w:rPr>
          <w:rFonts w:ascii="Abadi" w:hAnsi="Abadi"/>
          <w:i/>
          <w:iCs/>
          <w:sz w:val="24"/>
          <w:szCs w:val="24"/>
        </w:rPr>
        <w:t xml:space="preserve">- Solamente aquellas prestaciones adicionales no “definidas” en los pliegos. </w:t>
      </w:r>
    </w:p>
    <w:p w14:paraId="26B616A9" w14:textId="2D12CC7A" w:rsidR="005A45C1" w:rsidRPr="0043678D" w:rsidRDefault="005A45C1" w:rsidP="004C5EC3">
      <w:pPr>
        <w:jc w:val="both"/>
        <w:rPr>
          <w:rFonts w:ascii="Abadi" w:hAnsi="Abadi"/>
          <w:i/>
          <w:iCs/>
          <w:sz w:val="24"/>
          <w:szCs w:val="24"/>
        </w:rPr>
      </w:pPr>
      <w:r w:rsidRPr="0043678D">
        <w:rPr>
          <w:rFonts w:ascii="Abadi" w:hAnsi="Abadi"/>
          <w:i/>
          <w:iCs/>
          <w:sz w:val="24"/>
          <w:szCs w:val="24"/>
        </w:rPr>
        <w:t>Este Tribunal se decanta por la segunda interpretación porque el precepto transcrito, después de fijar la definición, especifica que las prestaciones adicionales no pueden alterar la naturaleza de las prestaciones establecidas en el PPTP, ni el objeto del contrato. Es evidente que las prestaciones ofrecidas, no obligatorias, que “mejoren” las mismas prestaciones establecidas en los pliegos, en ningún caso van a alterar la naturaleza de dichas prestaciones, ni el objeto del contrato. Por ello, parece que las “mejoras” a las que se refiere el artículo 145.7 de la LCSP son aquellas prestaciones “adicionales y distintas” a las definidas en el proyecto</w:t>
      </w:r>
      <w:r w:rsidR="00580FA0" w:rsidRPr="0043678D">
        <w:rPr>
          <w:rFonts w:ascii="Abadi" w:hAnsi="Abadi"/>
          <w:i/>
          <w:iCs/>
          <w:sz w:val="24"/>
          <w:szCs w:val="24"/>
        </w:rPr>
        <w:t>”</w:t>
      </w:r>
      <w:r w:rsidRPr="0043678D">
        <w:rPr>
          <w:rFonts w:ascii="Abadi" w:hAnsi="Abadi"/>
          <w:i/>
          <w:iCs/>
          <w:sz w:val="24"/>
          <w:szCs w:val="24"/>
        </w:rPr>
        <w:t>.</w:t>
      </w:r>
    </w:p>
    <w:p w14:paraId="3939F966" w14:textId="02707F8C" w:rsidR="00FC5450" w:rsidRPr="0043678D" w:rsidRDefault="00E73A45" w:rsidP="004C5EC3">
      <w:pPr>
        <w:jc w:val="both"/>
        <w:rPr>
          <w:rFonts w:ascii="Abadi" w:hAnsi="Abadi"/>
          <w:sz w:val="24"/>
          <w:szCs w:val="24"/>
        </w:rPr>
      </w:pPr>
      <w:r w:rsidRPr="0043678D">
        <w:rPr>
          <w:rFonts w:ascii="Abadi" w:hAnsi="Abadi"/>
          <w:sz w:val="24"/>
          <w:szCs w:val="24"/>
        </w:rPr>
        <w:t>E</w:t>
      </w:r>
      <w:r w:rsidR="00FC5450" w:rsidRPr="0043678D">
        <w:rPr>
          <w:rFonts w:ascii="Abadi" w:hAnsi="Abadi"/>
          <w:sz w:val="24"/>
          <w:szCs w:val="24"/>
        </w:rPr>
        <w:t xml:space="preserve">l TACRC </w:t>
      </w:r>
      <w:r w:rsidR="00254B73">
        <w:rPr>
          <w:rFonts w:ascii="Abadi" w:hAnsi="Abadi"/>
          <w:sz w:val="24"/>
          <w:szCs w:val="24"/>
        </w:rPr>
        <w:t>no rezuma convicción y</w:t>
      </w:r>
      <w:r w:rsidR="00305349">
        <w:rPr>
          <w:rFonts w:ascii="Abadi" w:hAnsi="Abadi"/>
          <w:sz w:val="24"/>
          <w:szCs w:val="24"/>
        </w:rPr>
        <w:t xml:space="preserve"> se expresa,</w:t>
      </w:r>
      <w:r w:rsidR="00FC5450" w:rsidRPr="0043678D">
        <w:rPr>
          <w:rFonts w:ascii="Abadi" w:hAnsi="Abadi"/>
          <w:sz w:val="24"/>
          <w:szCs w:val="24"/>
        </w:rPr>
        <w:t xml:space="preserve"> </w:t>
      </w:r>
      <w:r w:rsidR="008202CC" w:rsidRPr="0043678D">
        <w:rPr>
          <w:rFonts w:ascii="Abadi" w:hAnsi="Abadi"/>
          <w:sz w:val="24"/>
          <w:szCs w:val="24"/>
        </w:rPr>
        <w:t xml:space="preserve">“Por ello, </w:t>
      </w:r>
      <w:r w:rsidR="008202CC" w:rsidRPr="00305349">
        <w:rPr>
          <w:rFonts w:ascii="Abadi" w:hAnsi="Abadi"/>
          <w:i/>
          <w:iCs/>
          <w:sz w:val="24"/>
          <w:szCs w:val="24"/>
        </w:rPr>
        <w:t xml:space="preserve">parece </w:t>
      </w:r>
      <w:r w:rsidR="008202CC" w:rsidRPr="0043678D">
        <w:rPr>
          <w:rFonts w:ascii="Abadi" w:hAnsi="Abadi"/>
          <w:sz w:val="24"/>
          <w:szCs w:val="24"/>
        </w:rPr>
        <w:t>que las mejoras...” reconoce que la expresión “</w:t>
      </w:r>
      <w:r w:rsidRPr="0043678D">
        <w:rPr>
          <w:rFonts w:ascii="Abadi" w:hAnsi="Abadi"/>
          <w:sz w:val="24"/>
          <w:szCs w:val="24"/>
        </w:rPr>
        <w:t>prestaciones</w:t>
      </w:r>
      <w:r w:rsidR="008202CC" w:rsidRPr="0043678D">
        <w:rPr>
          <w:rFonts w:ascii="Abadi" w:hAnsi="Abadi"/>
          <w:sz w:val="24"/>
          <w:szCs w:val="24"/>
        </w:rPr>
        <w:t xml:space="preserve"> adicionales</w:t>
      </w:r>
      <w:r w:rsidR="000D2782" w:rsidRPr="0043678D">
        <w:rPr>
          <w:rFonts w:ascii="Abadi" w:hAnsi="Abadi"/>
          <w:sz w:val="24"/>
          <w:szCs w:val="24"/>
        </w:rPr>
        <w:t xml:space="preserve">” puede </w:t>
      </w:r>
      <w:r w:rsidRPr="0043678D">
        <w:rPr>
          <w:rFonts w:ascii="Abadi" w:hAnsi="Abadi"/>
          <w:sz w:val="24"/>
          <w:szCs w:val="24"/>
        </w:rPr>
        <w:t>tener</w:t>
      </w:r>
      <w:r w:rsidR="000D2782" w:rsidRPr="0043678D">
        <w:rPr>
          <w:rFonts w:ascii="Abadi" w:hAnsi="Abadi"/>
          <w:sz w:val="24"/>
          <w:szCs w:val="24"/>
        </w:rPr>
        <w:t xml:space="preserve"> dos acepciones siendo </w:t>
      </w:r>
      <w:r w:rsidRPr="0043678D">
        <w:rPr>
          <w:rFonts w:ascii="Abadi" w:hAnsi="Abadi"/>
          <w:sz w:val="24"/>
          <w:szCs w:val="24"/>
        </w:rPr>
        <w:t xml:space="preserve">la que acoge el TACRC </w:t>
      </w:r>
      <w:r w:rsidR="000D2782" w:rsidRPr="0043678D">
        <w:rPr>
          <w:rFonts w:ascii="Abadi" w:hAnsi="Abadi"/>
          <w:sz w:val="24"/>
          <w:szCs w:val="24"/>
        </w:rPr>
        <w:t xml:space="preserve">la más laxa </w:t>
      </w:r>
      <w:r w:rsidRPr="0043678D">
        <w:rPr>
          <w:rFonts w:ascii="Abadi" w:hAnsi="Abadi"/>
          <w:sz w:val="24"/>
          <w:szCs w:val="24"/>
        </w:rPr>
        <w:t xml:space="preserve">ya </w:t>
      </w:r>
      <w:r w:rsidR="000D2782" w:rsidRPr="0043678D">
        <w:rPr>
          <w:rFonts w:ascii="Abadi" w:hAnsi="Abadi"/>
          <w:sz w:val="24"/>
          <w:szCs w:val="24"/>
        </w:rPr>
        <w:t>que su aplicación dejará sin control de límites máximos muchos casos que en</w:t>
      </w:r>
      <w:r w:rsidR="006302F7" w:rsidRPr="0043678D">
        <w:rPr>
          <w:rFonts w:ascii="Abadi" w:hAnsi="Abadi"/>
          <w:sz w:val="24"/>
          <w:szCs w:val="24"/>
        </w:rPr>
        <w:t>juicia</w:t>
      </w:r>
      <w:r w:rsidR="009A6F1E">
        <w:rPr>
          <w:rFonts w:ascii="Abadi" w:hAnsi="Abadi"/>
          <w:sz w:val="24"/>
          <w:szCs w:val="24"/>
        </w:rPr>
        <w:t>rá</w:t>
      </w:r>
      <w:r w:rsidR="006302F7" w:rsidRPr="0043678D">
        <w:rPr>
          <w:rFonts w:ascii="Abadi" w:hAnsi="Abadi"/>
          <w:sz w:val="24"/>
          <w:szCs w:val="24"/>
        </w:rPr>
        <w:t>.</w:t>
      </w:r>
    </w:p>
    <w:p w14:paraId="7729D905" w14:textId="7B518305" w:rsidR="00FF6CCF" w:rsidRPr="0043678D" w:rsidRDefault="00FF6CCF" w:rsidP="004C5EC3">
      <w:pPr>
        <w:jc w:val="both"/>
        <w:rPr>
          <w:rFonts w:ascii="Abadi" w:hAnsi="Abadi"/>
          <w:sz w:val="24"/>
          <w:szCs w:val="24"/>
        </w:rPr>
      </w:pPr>
      <w:r w:rsidRPr="0043678D">
        <w:rPr>
          <w:rFonts w:ascii="Abadi" w:hAnsi="Abadi"/>
          <w:sz w:val="24"/>
          <w:szCs w:val="24"/>
        </w:rPr>
        <w:t xml:space="preserve">La interpretación del TACRC merece una reflexión. La redacción del </w:t>
      </w:r>
      <w:r w:rsidR="00A020B5" w:rsidRPr="0043678D">
        <w:rPr>
          <w:rFonts w:ascii="Abadi" w:hAnsi="Abadi"/>
          <w:sz w:val="24"/>
          <w:szCs w:val="24"/>
        </w:rPr>
        <w:t xml:space="preserve">apartado 7 del artículo 145 </w:t>
      </w:r>
      <w:r w:rsidR="005E387E" w:rsidRPr="0043678D">
        <w:rPr>
          <w:rFonts w:ascii="Abadi" w:hAnsi="Abadi"/>
          <w:sz w:val="24"/>
          <w:szCs w:val="24"/>
        </w:rPr>
        <w:t xml:space="preserve">LCSP </w:t>
      </w:r>
      <w:r w:rsidR="00A020B5" w:rsidRPr="0043678D">
        <w:rPr>
          <w:rFonts w:ascii="Abadi" w:hAnsi="Abadi"/>
          <w:sz w:val="24"/>
          <w:szCs w:val="24"/>
        </w:rPr>
        <w:t>es la que propuso el grupo parlamentario Ciudadanos en su enmienda 367</w:t>
      </w:r>
      <w:r w:rsidR="001E7E35" w:rsidRPr="0043678D">
        <w:rPr>
          <w:rFonts w:ascii="Abadi" w:hAnsi="Abadi"/>
          <w:sz w:val="24"/>
          <w:szCs w:val="24"/>
        </w:rPr>
        <w:t xml:space="preserve"> </w:t>
      </w:r>
      <w:r w:rsidR="00433741" w:rsidRPr="0043678D">
        <w:rPr>
          <w:rFonts w:ascii="Abadi" w:hAnsi="Abadi"/>
          <w:sz w:val="24"/>
          <w:szCs w:val="24"/>
        </w:rPr>
        <w:t xml:space="preserve">en el debate parlamentario en el Congreso de los Diputados del Proyecto de ley y la </w:t>
      </w:r>
      <w:r w:rsidR="001E7E35" w:rsidRPr="0043678D">
        <w:rPr>
          <w:rFonts w:ascii="Abadi" w:hAnsi="Abadi"/>
          <w:sz w:val="24"/>
          <w:szCs w:val="24"/>
        </w:rPr>
        <w:t>motiv</w:t>
      </w:r>
      <w:r w:rsidR="00433741" w:rsidRPr="0043678D">
        <w:rPr>
          <w:rFonts w:ascii="Abadi" w:hAnsi="Abadi"/>
          <w:sz w:val="24"/>
          <w:szCs w:val="24"/>
        </w:rPr>
        <w:t>ación</w:t>
      </w:r>
      <w:r w:rsidR="001E7E35" w:rsidRPr="0043678D">
        <w:rPr>
          <w:rFonts w:ascii="Abadi" w:hAnsi="Abadi"/>
          <w:sz w:val="24"/>
          <w:szCs w:val="24"/>
        </w:rPr>
        <w:t xml:space="preserve"> </w:t>
      </w:r>
      <w:r w:rsidR="00433741" w:rsidRPr="0043678D">
        <w:rPr>
          <w:rFonts w:ascii="Abadi" w:hAnsi="Abadi"/>
          <w:sz w:val="24"/>
          <w:szCs w:val="24"/>
        </w:rPr>
        <w:t xml:space="preserve">fue </w:t>
      </w:r>
      <w:r w:rsidR="001E7E35" w:rsidRPr="0043678D">
        <w:rPr>
          <w:rFonts w:ascii="Abadi" w:hAnsi="Abadi"/>
          <w:sz w:val="24"/>
          <w:szCs w:val="24"/>
        </w:rPr>
        <w:t>por, “…</w:t>
      </w:r>
      <w:r w:rsidR="001E7E35" w:rsidRPr="00503D6E">
        <w:rPr>
          <w:rFonts w:ascii="Abadi" w:hAnsi="Abadi"/>
          <w:i/>
          <w:iCs/>
          <w:sz w:val="24"/>
          <w:szCs w:val="24"/>
        </w:rPr>
        <w:t>necesidad de definir una regulación precisa en relación a los elementos sobre los que ha de recaer la mejora, su correcta cuantificación</w:t>
      </w:r>
      <w:r w:rsidR="005A7BD5" w:rsidRPr="00503D6E">
        <w:rPr>
          <w:rFonts w:ascii="Abadi" w:hAnsi="Abadi"/>
          <w:i/>
          <w:iCs/>
          <w:sz w:val="24"/>
          <w:szCs w:val="24"/>
        </w:rPr>
        <w:t xml:space="preserve"> </w:t>
      </w:r>
      <w:r w:rsidR="001E7E35" w:rsidRPr="00503D6E">
        <w:rPr>
          <w:rFonts w:ascii="Abadi" w:hAnsi="Abadi"/>
          <w:i/>
          <w:iCs/>
          <w:sz w:val="24"/>
          <w:szCs w:val="24"/>
        </w:rPr>
        <w:t>económica y su ponderación en orden a su valoración, criterios similares</w:t>
      </w:r>
      <w:r w:rsidR="005A7BD5" w:rsidRPr="00503D6E">
        <w:rPr>
          <w:rFonts w:ascii="Abadi" w:hAnsi="Abadi"/>
          <w:i/>
          <w:iCs/>
          <w:sz w:val="24"/>
          <w:szCs w:val="24"/>
        </w:rPr>
        <w:t xml:space="preserve"> </w:t>
      </w:r>
      <w:r w:rsidR="001E7E35" w:rsidRPr="00503D6E">
        <w:rPr>
          <w:rFonts w:ascii="Abadi" w:hAnsi="Abadi"/>
          <w:i/>
          <w:iCs/>
          <w:sz w:val="24"/>
          <w:szCs w:val="24"/>
        </w:rPr>
        <w:t>a los contemplados en el Proyecto de Ley en lo concerniente a las</w:t>
      </w:r>
      <w:r w:rsidR="001E7E35" w:rsidRPr="00503D6E">
        <w:rPr>
          <w:rFonts w:ascii="Abadi" w:hAnsi="Abadi"/>
          <w:i/>
          <w:iCs/>
          <w:sz w:val="24"/>
          <w:szCs w:val="24"/>
        </w:rPr>
        <w:br/>
        <w:t>variantes”</w:t>
      </w:r>
      <w:r w:rsidR="001E7E35" w:rsidRPr="0043678D">
        <w:rPr>
          <w:rFonts w:ascii="Abadi" w:hAnsi="Abadi"/>
          <w:sz w:val="24"/>
          <w:szCs w:val="24"/>
        </w:rPr>
        <w:t>.</w:t>
      </w:r>
      <w:r w:rsidR="006302F7" w:rsidRPr="0043678D">
        <w:rPr>
          <w:rFonts w:ascii="Abadi" w:hAnsi="Abadi"/>
          <w:sz w:val="24"/>
          <w:szCs w:val="24"/>
        </w:rPr>
        <w:t xml:space="preserve"> Puede verse que el legislador </w:t>
      </w:r>
      <w:r w:rsidR="00D34012" w:rsidRPr="0043678D">
        <w:rPr>
          <w:rFonts w:ascii="Abadi" w:hAnsi="Abadi"/>
          <w:sz w:val="24"/>
          <w:szCs w:val="24"/>
        </w:rPr>
        <w:t xml:space="preserve">pretendió una interpretación severa </w:t>
      </w:r>
      <w:r w:rsidR="00B930AD" w:rsidRPr="0043678D">
        <w:rPr>
          <w:rFonts w:ascii="Abadi" w:hAnsi="Abadi"/>
          <w:sz w:val="24"/>
          <w:szCs w:val="24"/>
        </w:rPr>
        <w:t>en el proceso valorativo</w:t>
      </w:r>
      <w:r w:rsidR="00306BEF" w:rsidRPr="0043678D">
        <w:rPr>
          <w:rFonts w:ascii="Abadi" w:hAnsi="Abadi"/>
          <w:sz w:val="24"/>
          <w:szCs w:val="24"/>
        </w:rPr>
        <w:t xml:space="preserve"> de las mejoras</w:t>
      </w:r>
      <w:r w:rsidR="00B930AD" w:rsidRPr="0043678D">
        <w:rPr>
          <w:rFonts w:ascii="Abadi" w:hAnsi="Abadi"/>
          <w:sz w:val="24"/>
          <w:szCs w:val="24"/>
        </w:rPr>
        <w:t xml:space="preserve"> y precisa</w:t>
      </w:r>
      <w:r w:rsidR="006E0E42" w:rsidRPr="0043678D">
        <w:rPr>
          <w:rFonts w:ascii="Abadi" w:hAnsi="Abadi"/>
          <w:sz w:val="24"/>
          <w:szCs w:val="24"/>
        </w:rPr>
        <w:t>ndo</w:t>
      </w:r>
      <w:r w:rsidR="00D34012" w:rsidRPr="0043678D">
        <w:rPr>
          <w:rFonts w:ascii="Abadi" w:hAnsi="Abadi"/>
          <w:sz w:val="24"/>
          <w:szCs w:val="24"/>
        </w:rPr>
        <w:t xml:space="preserve"> su</w:t>
      </w:r>
      <w:r w:rsidR="00B930AD" w:rsidRPr="0043678D">
        <w:rPr>
          <w:rFonts w:ascii="Abadi" w:hAnsi="Abadi"/>
          <w:sz w:val="24"/>
          <w:szCs w:val="24"/>
        </w:rPr>
        <w:t xml:space="preserve"> repercusión económica</w:t>
      </w:r>
      <w:r w:rsidR="006E0E42" w:rsidRPr="0043678D">
        <w:rPr>
          <w:rFonts w:ascii="Abadi" w:hAnsi="Abadi"/>
          <w:sz w:val="24"/>
          <w:szCs w:val="24"/>
        </w:rPr>
        <w:t>.</w:t>
      </w:r>
    </w:p>
    <w:p w14:paraId="5E7CFBA4" w14:textId="5E5DF8FA" w:rsidR="006E0E42" w:rsidRPr="0043678D" w:rsidRDefault="006E0E42" w:rsidP="004C5EC3">
      <w:pPr>
        <w:jc w:val="both"/>
        <w:rPr>
          <w:rFonts w:ascii="Abadi" w:hAnsi="Abadi"/>
          <w:sz w:val="24"/>
          <w:szCs w:val="24"/>
        </w:rPr>
      </w:pPr>
      <w:r w:rsidRPr="0043678D">
        <w:rPr>
          <w:rFonts w:ascii="Abadi" w:hAnsi="Abadi"/>
          <w:sz w:val="24"/>
          <w:szCs w:val="24"/>
        </w:rPr>
        <w:t xml:space="preserve">El TACRC, sin embargo, opta por una interpretación que colisiona con los principios </w:t>
      </w:r>
      <w:r w:rsidR="00821C50" w:rsidRPr="0043678D">
        <w:rPr>
          <w:rFonts w:ascii="Abadi" w:hAnsi="Abadi"/>
          <w:sz w:val="24"/>
          <w:szCs w:val="24"/>
        </w:rPr>
        <w:t>que el legislador aplicó sobre las mejoras. Permitir que ciertas ofe</w:t>
      </w:r>
      <w:r w:rsidR="005F57CB" w:rsidRPr="0043678D">
        <w:rPr>
          <w:rFonts w:ascii="Abadi" w:hAnsi="Abadi"/>
          <w:sz w:val="24"/>
          <w:szCs w:val="24"/>
        </w:rPr>
        <w:t>rt</w:t>
      </w:r>
      <w:r w:rsidR="00821C50" w:rsidRPr="0043678D">
        <w:rPr>
          <w:rFonts w:ascii="Abadi" w:hAnsi="Abadi"/>
          <w:sz w:val="24"/>
          <w:szCs w:val="24"/>
        </w:rPr>
        <w:t xml:space="preserve">as </w:t>
      </w:r>
      <w:r w:rsidR="00EC58A9">
        <w:rPr>
          <w:rFonts w:ascii="Abadi" w:hAnsi="Abadi"/>
          <w:sz w:val="24"/>
          <w:szCs w:val="24"/>
        </w:rPr>
        <w:t xml:space="preserve">de mejoras </w:t>
      </w:r>
      <w:r w:rsidR="00821C50" w:rsidRPr="0043678D">
        <w:rPr>
          <w:rFonts w:ascii="Abadi" w:hAnsi="Abadi"/>
          <w:sz w:val="24"/>
          <w:szCs w:val="24"/>
        </w:rPr>
        <w:t xml:space="preserve">que amplían la prestación no se rijan por el articulo 145.7 por que no son “nuevas prestaciones” es ciertamente una interpretación </w:t>
      </w:r>
      <w:r w:rsidR="00215EB2">
        <w:rPr>
          <w:rFonts w:ascii="Abadi" w:hAnsi="Abadi"/>
          <w:sz w:val="24"/>
          <w:szCs w:val="24"/>
        </w:rPr>
        <w:t>contra el espíritu de la ley y, añado, incluso de su propia redacción</w:t>
      </w:r>
      <w:r w:rsidR="00493CCF" w:rsidRPr="0043678D">
        <w:rPr>
          <w:rFonts w:ascii="Abadi" w:hAnsi="Abadi"/>
          <w:sz w:val="24"/>
          <w:szCs w:val="24"/>
        </w:rPr>
        <w:t>.</w:t>
      </w:r>
    </w:p>
    <w:p w14:paraId="02FCA17C" w14:textId="589877C5" w:rsidR="00493CCF" w:rsidRPr="0043678D" w:rsidRDefault="00493CCF" w:rsidP="004C5EC3">
      <w:pPr>
        <w:jc w:val="both"/>
        <w:rPr>
          <w:rFonts w:ascii="Abadi" w:hAnsi="Abadi"/>
          <w:sz w:val="24"/>
          <w:szCs w:val="24"/>
        </w:rPr>
      </w:pPr>
      <w:r w:rsidRPr="0043678D">
        <w:rPr>
          <w:rFonts w:ascii="Abadi" w:hAnsi="Abadi"/>
          <w:sz w:val="24"/>
          <w:szCs w:val="24"/>
        </w:rPr>
        <w:t>Ampliar el objeto contractual, aumentando</w:t>
      </w:r>
      <w:r w:rsidR="00C67D14" w:rsidRPr="0043678D">
        <w:rPr>
          <w:rFonts w:ascii="Abadi" w:hAnsi="Abadi"/>
          <w:sz w:val="24"/>
          <w:szCs w:val="24"/>
        </w:rPr>
        <w:t xml:space="preserve">, respecto lo exigido como mínimo en el PPT, </w:t>
      </w:r>
      <w:r w:rsidRPr="0043678D">
        <w:rPr>
          <w:rFonts w:ascii="Abadi" w:hAnsi="Abadi"/>
          <w:sz w:val="24"/>
          <w:szCs w:val="24"/>
        </w:rPr>
        <w:t xml:space="preserve">el número de horas de prestación del servicio, es una mejora </w:t>
      </w:r>
      <w:r w:rsidR="00C67D14" w:rsidRPr="0043678D">
        <w:rPr>
          <w:rFonts w:ascii="Abadi" w:hAnsi="Abadi"/>
          <w:sz w:val="24"/>
          <w:szCs w:val="24"/>
        </w:rPr>
        <w:t xml:space="preserve">que debe </w:t>
      </w:r>
      <w:r w:rsidR="009200DE" w:rsidRPr="0043678D">
        <w:rPr>
          <w:rFonts w:ascii="Abadi" w:hAnsi="Abadi"/>
          <w:sz w:val="24"/>
          <w:szCs w:val="24"/>
        </w:rPr>
        <w:t>cumplir</w:t>
      </w:r>
      <w:r w:rsidR="00C67D14" w:rsidRPr="0043678D">
        <w:rPr>
          <w:rFonts w:ascii="Abadi" w:hAnsi="Abadi"/>
          <w:sz w:val="24"/>
          <w:szCs w:val="24"/>
        </w:rPr>
        <w:t xml:space="preserve"> las condiciones y requisitos exigidos en art. 145.7 LCSP.</w:t>
      </w:r>
    </w:p>
    <w:p w14:paraId="3C5A1852" w14:textId="66A8E3AF" w:rsidR="00B44273" w:rsidRDefault="00C67D14" w:rsidP="00E5048E">
      <w:pPr>
        <w:jc w:val="both"/>
        <w:rPr>
          <w:rFonts w:ascii="Abadi" w:hAnsi="Abadi"/>
          <w:sz w:val="24"/>
          <w:szCs w:val="24"/>
        </w:rPr>
      </w:pPr>
      <w:r w:rsidRPr="0043678D">
        <w:rPr>
          <w:rFonts w:ascii="Abadi" w:hAnsi="Abadi"/>
          <w:sz w:val="24"/>
          <w:szCs w:val="24"/>
        </w:rPr>
        <w:lastRenderedPageBreak/>
        <w:t>Así lo entienden los Tribunales de recursos</w:t>
      </w:r>
      <w:r w:rsidR="005F57CB" w:rsidRPr="0043678D">
        <w:rPr>
          <w:rFonts w:ascii="Abadi" w:hAnsi="Abadi"/>
          <w:sz w:val="24"/>
          <w:szCs w:val="24"/>
        </w:rPr>
        <w:t xml:space="preserve"> y la jurisdicción, excepto claro está, el TACRC</w:t>
      </w:r>
      <w:r w:rsidR="000754F1">
        <w:rPr>
          <w:rFonts w:ascii="Abadi" w:hAnsi="Abadi"/>
          <w:sz w:val="24"/>
          <w:szCs w:val="24"/>
        </w:rPr>
        <w:t xml:space="preserve"> y también el Tribunal </w:t>
      </w:r>
      <w:r w:rsidR="005A5B21">
        <w:rPr>
          <w:rFonts w:ascii="Abadi" w:hAnsi="Abadi"/>
          <w:sz w:val="24"/>
          <w:szCs w:val="24"/>
        </w:rPr>
        <w:t xml:space="preserve">Administrativo de Recursos Contractuales de Castilla y León que en su resolución </w:t>
      </w:r>
      <w:r w:rsidR="00A95438">
        <w:rPr>
          <w:rFonts w:ascii="Abadi" w:hAnsi="Abadi"/>
          <w:sz w:val="24"/>
          <w:szCs w:val="24"/>
        </w:rPr>
        <w:t>98/2022 de</w:t>
      </w:r>
      <w:r w:rsidR="00C14E57">
        <w:rPr>
          <w:rFonts w:ascii="Abadi" w:hAnsi="Abadi"/>
          <w:sz w:val="24"/>
          <w:szCs w:val="24"/>
        </w:rPr>
        <w:t>14 de julio</w:t>
      </w:r>
      <w:r w:rsidR="00A95438">
        <w:rPr>
          <w:rFonts w:ascii="Abadi" w:hAnsi="Abadi"/>
          <w:sz w:val="24"/>
          <w:szCs w:val="24"/>
        </w:rPr>
        <w:t xml:space="preserve"> </w:t>
      </w:r>
      <w:r w:rsidR="005A5B21">
        <w:rPr>
          <w:rFonts w:ascii="Abadi" w:hAnsi="Abadi"/>
          <w:sz w:val="24"/>
          <w:szCs w:val="24"/>
        </w:rPr>
        <w:t>se suma a la doctrina del TACRC</w:t>
      </w:r>
      <w:r w:rsidR="005F57CB" w:rsidRPr="0043678D">
        <w:rPr>
          <w:rFonts w:ascii="Abadi" w:hAnsi="Abadi"/>
          <w:sz w:val="24"/>
          <w:szCs w:val="24"/>
        </w:rPr>
        <w:t>.</w:t>
      </w:r>
      <w:r w:rsidR="009A1DC0" w:rsidRPr="0043678D">
        <w:rPr>
          <w:rFonts w:ascii="Abadi" w:hAnsi="Abadi"/>
          <w:sz w:val="24"/>
          <w:szCs w:val="24"/>
        </w:rPr>
        <w:t xml:space="preserve"> </w:t>
      </w:r>
    </w:p>
    <w:p w14:paraId="232E2E49" w14:textId="43D0CD20" w:rsidR="00C67D14" w:rsidRPr="0043678D" w:rsidRDefault="009A1DC0" w:rsidP="00E5048E">
      <w:pPr>
        <w:jc w:val="both"/>
        <w:rPr>
          <w:rFonts w:ascii="Abadi" w:hAnsi="Abadi"/>
          <w:sz w:val="24"/>
          <w:szCs w:val="24"/>
        </w:rPr>
      </w:pPr>
      <w:r w:rsidRPr="0043678D">
        <w:rPr>
          <w:rFonts w:ascii="Abadi" w:hAnsi="Abadi"/>
          <w:sz w:val="24"/>
          <w:szCs w:val="24"/>
        </w:rPr>
        <w:t xml:space="preserve">El Tribunal Catalán de los Contratos Públicos (TCCP) en resolución </w:t>
      </w:r>
      <w:r w:rsidR="001158F6" w:rsidRPr="0043678D">
        <w:rPr>
          <w:rFonts w:ascii="Abadi" w:hAnsi="Abadi"/>
          <w:sz w:val="24"/>
          <w:szCs w:val="24"/>
        </w:rPr>
        <w:t xml:space="preserve">613/2023, de 22 de noviembre de 2023, conoce un recurso especial </w:t>
      </w:r>
      <w:r w:rsidR="00D13584" w:rsidRPr="0043678D">
        <w:rPr>
          <w:rFonts w:ascii="Abadi" w:hAnsi="Abadi"/>
          <w:sz w:val="24"/>
          <w:szCs w:val="24"/>
        </w:rPr>
        <w:t>sobre “bolsa de horas de libre disposición</w:t>
      </w:r>
      <w:r w:rsidR="005C54C1" w:rsidRPr="0043678D">
        <w:rPr>
          <w:rFonts w:ascii="Abadi" w:hAnsi="Abadi"/>
          <w:sz w:val="24"/>
          <w:szCs w:val="24"/>
        </w:rPr>
        <w:t xml:space="preserve"> para tareas excepcionales</w:t>
      </w:r>
      <w:r w:rsidR="006E14BE" w:rsidRPr="0043678D">
        <w:rPr>
          <w:rFonts w:ascii="Abadi" w:hAnsi="Abadi"/>
          <w:sz w:val="24"/>
          <w:szCs w:val="24"/>
        </w:rPr>
        <w:t xml:space="preserve">” que no establece un límite máximo de horas </w:t>
      </w:r>
      <w:r w:rsidR="005C54C1" w:rsidRPr="0043678D">
        <w:rPr>
          <w:rFonts w:ascii="Abadi" w:hAnsi="Abadi"/>
          <w:sz w:val="24"/>
          <w:szCs w:val="24"/>
        </w:rPr>
        <w:t>a ofrecer</w:t>
      </w:r>
      <w:r w:rsidR="00696089" w:rsidRPr="0043678D">
        <w:rPr>
          <w:rFonts w:ascii="Abadi" w:hAnsi="Abadi"/>
          <w:sz w:val="24"/>
          <w:szCs w:val="24"/>
        </w:rPr>
        <w:t xml:space="preserve">, en una licitación de contrato de limpieza de edificios municipales. </w:t>
      </w:r>
      <w:r w:rsidR="004A4894" w:rsidRPr="0043678D">
        <w:rPr>
          <w:rFonts w:ascii="Abadi" w:hAnsi="Abadi"/>
          <w:sz w:val="24"/>
          <w:szCs w:val="24"/>
        </w:rPr>
        <w:t xml:space="preserve">El TCCP </w:t>
      </w:r>
      <w:r w:rsidR="00EE434C" w:rsidRPr="0043678D">
        <w:rPr>
          <w:rFonts w:ascii="Abadi" w:hAnsi="Abadi"/>
          <w:sz w:val="24"/>
          <w:szCs w:val="24"/>
        </w:rPr>
        <w:t xml:space="preserve">conoce el recurso sin reservas porque previamente recuerda que debe entenderse como mejora (traducimos el catalán): </w:t>
      </w:r>
      <w:r w:rsidR="00E5048E" w:rsidRPr="0043678D">
        <w:rPr>
          <w:rFonts w:ascii="Abadi" w:hAnsi="Abadi"/>
          <w:sz w:val="24"/>
          <w:szCs w:val="24"/>
        </w:rPr>
        <w:t xml:space="preserve">“Una "mejora" es todo aquello que perfecciona la prestación del contrato, sin que venga exigido o determinado en las prestaciones que definen el objeto del mismo y a las que están vinculadas”.  </w:t>
      </w:r>
      <w:r w:rsidR="00EA68B1" w:rsidRPr="0043678D">
        <w:rPr>
          <w:rFonts w:ascii="Abadi" w:hAnsi="Abadi"/>
          <w:sz w:val="24"/>
          <w:szCs w:val="24"/>
        </w:rPr>
        <w:t>Como se verá la interpretación del concepto de mejora es mucho más abierta y omnicomprensiva que la restrictiva del TACRC.</w:t>
      </w:r>
    </w:p>
    <w:p w14:paraId="34D7547B" w14:textId="77777777" w:rsidR="00B44273" w:rsidRDefault="005665A7" w:rsidP="00E5048E">
      <w:pPr>
        <w:jc w:val="both"/>
        <w:rPr>
          <w:rFonts w:ascii="Abadi" w:hAnsi="Abadi"/>
          <w:sz w:val="24"/>
          <w:szCs w:val="24"/>
        </w:rPr>
      </w:pPr>
      <w:r w:rsidRPr="0043678D">
        <w:rPr>
          <w:rFonts w:ascii="Abadi" w:hAnsi="Abadi"/>
          <w:sz w:val="24"/>
          <w:szCs w:val="24"/>
        </w:rPr>
        <w:t>También el Órgano Administrativo de Recursos</w:t>
      </w:r>
      <w:r w:rsidR="00281BC2" w:rsidRPr="0043678D">
        <w:rPr>
          <w:rFonts w:ascii="Abadi" w:hAnsi="Abadi"/>
          <w:sz w:val="24"/>
          <w:szCs w:val="24"/>
        </w:rPr>
        <w:t xml:space="preserve"> Contractuales del País Vasco (OARC)</w:t>
      </w:r>
      <w:r w:rsidR="00B7282F" w:rsidRPr="0043678D">
        <w:rPr>
          <w:rFonts w:ascii="Abadi" w:hAnsi="Abadi"/>
          <w:sz w:val="24"/>
          <w:szCs w:val="24"/>
        </w:rPr>
        <w:t xml:space="preserve"> considera que deben establecerse límites máximos en oferta de bolsa de horas en servicios de limpieza de edificios municipales en su resolución </w:t>
      </w:r>
      <w:r w:rsidR="00A647A4" w:rsidRPr="0043678D">
        <w:rPr>
          <w:rFonts w:ascii="Abadi" w:hAnsi="Abadi"/>
          <w:sz w:val="24"/>
          <w:szCs w:val="24"/>
        </w:rPr>
        <w:t xml:space="preserve">122/2022, de 15 de julio. </w:t>
      </w:r>
    </w:p>
    <w:p w14:paraId="43BE21BF" w14:textId="15C731E4" w:rsidR="000A534A" w:rsidRPr="0043678D" w:rsidRDefault="00A647A4" w:rsidP="00E5048E">
      <w:pPr>
        <w:jc w:val="both"/>
        <w:rPr>
          <w:rFonts w:ascii="Abadi" w:hAnsi="Abadi"/>
          <w:sz w:val="24"/>
          <w:szCs w:val="24"/>
        </w:rPr>
      </w:pPr>
      <w:r w:rsidRPr="0043678D">
        <w:rPr>
          <w:rFonts w:ascii="Abadi" w:hAnsi="Abadi"/>
          <w:sz w:val="24"/>
          <w:szCs w:val="24"/>
        </w:rPr>
        <w:t xml:space="preserve">El Tribunal </w:t>
      </w:r>
      <w:r w:rsidR="001109B9" w:rsidRPr="0043678D">
        <w:rPr>
          <w:rFonts w:ascii="Abadi" w:hAnsi="Abadi"/>
          <w:sz w:val="24"/>
          <w:szCs w:val="24"/>
        </w:rPr>
        <w:t>Administrativo de Contratación Pública de Madrid</w:t>
      </w:r>
      <w:r w:rsidR="00515187" w:rsidRPr="0043678D">
        <w:rPr>
          <w:rFonts w:ascii="Abadi" w:hAnsi="Abadi"/>
          <w:sz w:val="24"/>
          <w:szCs w:val="24"/>
        </w:rPr>
        <w:t xml:space="preserve"> en resolución 434/2023 de 14 de diciembre de 2023</w:t>
      </w:r>
      <w:r w:rsidR="008E0EA1" w:rsidRPr="0043678D">
        <w:rPr>
          <w:rFonts w:ascii="Abadi" w:hAnsi="Abadi"/>
          <w:sz w:val="24"/>
          <w:szCs w:val="24"/>
        </w:rPr>
        <w:t xml:space="preserve">, con citas de otras suyas anteriores, </w:t>
      </w:r>
      <w:r w:rsidR="00A545A8" w:rsidRPr="0043678D">
        <w:rPr>
          <w:rFonts w:ascii="Abadi" w:hAnsi="Abadi"/>
          <w:sz w:val="24"/>
          <w:szCs w:val="24"/>
        </w:rPr>
        <w:t>afirma</w:t>
      </w:r>
      <w:r w:rsidR="009A31BE">
        <w:rPr>
          <w:rFonts w:ascii="Abadi" w:hAnsi="Abadi"/>
          <w:sz w:val="24"/>
          <w:szCs w:val="24"/>
        </w:rPr>
        <w:t xml:space="preserve">, interpretando el art. 145.7 </w:t>
      </w:r>
      <w:r w:rsidR="00AA3B6A" w:rsidRPr="0043678D">
        <w:rPr>
          <w:rFonts w:ascii="Abadi" w:hAnsi="Abadi"/>
          <w:sz w:val="24"/>
          <w:szCs w:val="24"/>
        </w:rPr>
        <w:t xml:space="preserve">LCSP </w:t>
      </w:r>
      <w:r w:rsidR="00A545A8" w:rsidRPr="0043678D">
        <w:rPr>
          <w:rFonts w:ascii="Abadi" w:hAnsi="Abadi"/>
          <w:sz w:val="24"/>
          <w:szCs w:val="24"/>
        </w:rPr>
        <w:t xml:space="preserve">que, </w:t>
      </w:r>
      <w:r w:rsidR="00A545A8" w:rsidRPr="0043678D">
        <w:rPr>
          <w:rFonts w:ascii="Abadi" w:hAnsi="Abadi"/>
          <w:i/>
          <w:iCs/>
          <w:sz w:val="24"/>
          <w:szCs w:val="24"/>
        </w:rPr>
        <w:t>“Por ello, el órgano de contratación debe establecer límites a las mejoras que reflejen un umbral que permita maximizar la prestación, pues más allá de ese umbral resultaría irrelevante para el objeto del contrato, por lo que carece de sentido primarlas, pues en otro caso se desnaturalizarían los criterios de adjudicación que no tienen otro objetivo que seleccionar la mejor oferta en su relación calidad-precio.</w:t>
      </w:r>
      <w:r w:rsidR="00AA3B6A" w:rsidRPr="0043678D">
        <w:rPr>
          <w:rFonts w:ascii="Abadi" w:hAnsi="Abadi"/>
          <w:sz w:val="24"/>
          <w:szCs w:val="24"/>
        </w:rPr>
        <w:t>”</w:t>
      </w:r>
      <w:r w:rsidR="003531FA" w:rsidRPr="0043678D">
        <w:rPr>
          <w:rFonts w:ascii="Abadi" w:hAnsi="Abadi"/>
          <w:sz w:val="24"/>
          <w:szCs w:val="24"/>
        </w:rPr>
        <w:t xml:space="preserve">. La singularidad </w:t>
      </w:r>
      <w:r w:rsidR="00350849" w:rsidRPr="0043678D">
        <w:rPr>
          <w:rFonts w:ascii="Abadi" w:hAnsi="Abadi"/>
          <w:sz w:val="24"/>
          <w:szCs w:val="24"/>
        </w:rPr>
        <w:t xml:space="preserve">de esta resolución es que los límites </w:t>
      </w:r>
      <w:r w:rsidR="000A0834" w:rsidRPr="0043678D">
        <w:rPr>
          <w:rFonts w:ascii="Abadi" w:hAnsi="Abadi"/>
          <w:sz w:val="24"/>
          <w:szCs w:val="24"/>
        </w:rPr>
        <w:t xml:space="preserve">sobre las mejoras </w:t>
      </w:r>
      <w:r w:rsidR="00350849" w:rsidRPr="0043678D">
        <w:rPr>
          <w:rFonts w:ascii="Abadi" w:hAnsi="Abadi"/>
          <w:sz w:val="24"/>
          <w:szCs w:val="24"/>
        </w:rPr>
        <w:t>venían establecidos clara y concretamente en los criterios de consideración de oferta anormal de forma que</w:t>
      </w:r>
      <w:r w:rsidR="0064148A" w:rsidRPr="0043678D">
        <w:rPr>
          <w:rFonts w:ascii="Abadi" w:hAnsi="Abadi"/>
          <w:sz w:val="24"/>
          <w:szCs w:val="24"/>
        </w:rPr>
        <w:t xml:space="preserve"> se considera oferta anormal:”-Número Horas de personal (limpiadores/as):</w:t>
      </w:r>
      <w:r w:rsidR="000A0834" w:rsidRPr="0043678D">
        <w:t xml:space="preserve"> </w:t>
      </w:r>
      <w:r w:rsidR="000A0834" w:rsidRPr="0043678D">
        <w:rPr>
          <w:rFonts w:ascii="Abadi" w:hAnsi="Abadi"/>
          <w:sz w:val="24"/>
          <w:szCs w:val="24"/>
        </w:rPr>
        <w:t>Superen en más del 15% el número mínimo de horas anuales exigidas. -Número Horas de personal cualificado (cristaleros, pulidores, etc.): Oferten más de 2080 horas/año sobre las mínimas exigidas. -Número Horas anuales destinadas a servicios extraordinarios: Oferten más de 450 horas/año sobre las mínimas exigida.</w:t>
      </w:r>
      <w:r w:rsidR="00640A45" w:rsidRPr="0043678D">
        <w:rPr>
          <w:rFonts w:ascii="Abadi" w:hAnsi="Abadi"/>
          <w:sz w:val="24"/>
          <w:szCs w:val="24"/>
        </w:rPr>
        <w:t>”</w:t>
      </w:r>
    </w:p>
    <w:p w14:paraId="4E096905" w14:textId="409A4C0E" w:rsidR="000A534A" w:rsidRDefault="000A534A" w:rsidP="00E5048E">
      <w:pPr>
        <w:jc w:val="both"/>
        <w:rPr>
          <w:rFonts w:ascii="Abadi" w:hAnsi="Abadi"/>
          <w:sz w:val="24"/>
          <w:szCs w:val="24"/>
        </w:rPr>
      </w:pPr>
      <w:r w:rsidRPr="0043678D">
        <w:rPr>
          <w:rFonts w:ascii="Abadi" w:hAnsi="Abadi"/>
          <w:sz w:val="24"/>
          <w:szCs w:val="24"/>
        </w:rPr>
        <w:t xml:space="preserve">El Tribunal Superior de Justicia de Aragón </w:t>
      </w:r>
      <w:r w:rsidR="00B97F85">
        <w:rPr>
          <w:rFonts w:ascii="Abadi" w:hAnsi="Abadi"/>
          <w:sz w:val="24"/>
          <w:szCs w:val="24"/>
        </w:rPr>
        <w:t xml:space="preserve">(TACPA) </w:t>
      </w:r>
      <w:r w:rsidRPr="0043678D">
        <w:rPr>
          <w:rFonts w:ascii="Abadi" w:hAnsi="Abadi"/>
          <w:sz w:val="24"/>
          <w:szCs w:val="24"/>
        </w:rPr>
        <w:t>en su sentencia 402/2022</w:t>
      </w:r>
      <w:r w:rsidR="009D1808" w:rsidRPr="0043678D">
        <w:rPr>
          <w:rFonts w:ascii="Abadi" w:hAnsi="Abadi"/>
          <w:sz w:val="24"/>
          <w:szCs w:val="24"/>
        </w:rPr>
        <w:t xml:space="preserve">, de 15 de </w:t>
      </w:r>
      <w:r w:rsidR="00B97F85" w:rsidRPr="0043678D">
        <w:rPr>
          <w:rFonts w:ascii="Abadi" w:hAnsi="Abadi"/>
          <w:sz w:val="24"/>
          <w:szCs w:val="24"/>
        </w:rPr>
        <w:t>noviembre</w:t>
      </w:r>
      <w:r w:rsidR="009D1808" w:rsidRPr="0043678D">
        <w:rPr>
          <w:rFonts w:ascii="Abadi" w:hAnsi="Abadi"/>
          <w:sz w:val="24"/>
          <w:szCs w:val="24"/>
        </w:rPr>
        <w:t xml:space="preserve">, ECLI:ES:TSJAR:2022:1754, </w:t>
      </w:r>
      <w:r w:rsidR="004B5DDB" w:rsidRPr="0043678D">
        <w:rPr>
          <w:rFonts w:ascii="Abadi" w:hAnsi="Abadi"/>
          <w:sz w:val="24"/>
          <w:szCs w:val="24"/>
        </w:rPr>
        <w:t>anuló el Acuerdo 106/2020 de 11 de diciembre del Tribunal Administrativo de Contratación Pública de Aragón (TACPA)</w:t>
      </w:r>
      <w:r w:rsidR="00296413" w:rsidRPr="0043678D">
        <w:rPr>
          <w:rFonts w:ascii="Abadi" w:hAnsi="Abadi"/>
          <w:sz w:val="24"/>
          <w:szCs w:val="24"/>
        </w:rPr>
        <w:t xml:space="preserve">. La cuestión controvertida es que el TACPA en acuerdo </w:t>
      </w:r>
      <w:r w:rsidR="0043678D" w:rsidRPr="0043678D">
        <w:rPr>
          <w:rFonts w:ascii="Abadi" w:hAnsi="Abadi"/>
          <w:sz w:val="24"/>
          <w:szCs w:val="24"/>
        </w:rPr>
        <w:t>74/2020 sobre</w:t>
      </w:r>
      <w:r w:rsidR="00296413" w:rsidRPr="0043678D">
        <w:rPr>
          <w:rFonts w:ascii="Abadi" w:hAnsi="Abadi"/>
          <w:sz w:val="24"/>
          <w:szCs w:val="24"/>
        </w:rPr>
        <w:t xml:space="preserve"> la licitación </w:t>
      </w:r>
      <w:r w:rsidR="00177BDC">
        <w:rPr>
          <w:rFonts w:ascii="Abadi" w:hAnsi="Abadi"/>
          <w:sz w:val="24"/>
          <w:szCs w:val="24"/>
        </w:rPr>
        <w:t>de servicios de limpieza de edificios</w:t>
      </w:r>
      <w:r w:rsidR="00296413" w:rsidRPr="0043678D">
        <w:rPr>
          <w:rFonts w:ascii="Abadi" w:hAnsi="Abadi"/>
          <w:sz w:val="24"/>
          <w:szCs w:val="24"/>
        </w:rPr>
        <w:t xml:space="preserve"> había anulado</w:t>
      </w:r>
      <w:r w:rsidR="0003783D" w:rsidRPr="0043678D">
        <w:rPr>
          <w:rFonts w:ascii="Abadi" w:hAnsi="Abadi"/>
          <w:sz w:val="24"/>
          <w:szCs w:val="24"/>
        </w:rPr>
        <w:t xml:space="preserve"> </w:t>
      </w:r>
      <w:r w:rsidR="00177BDC">
        <w:rPr>
          <w:rFonts w:ascii="Abadi" w:hAnsi="Abadi"/>
          <w:sz w:val="24"/>
          <w:szCs w:val="24"/>
        </w:rPr>
        <w:t xml:space="preserve">un criterio de adjudicación de ofertas de bolsa de horas </w:t>
      </w:r>
      <w:r w:rsidR="0003783D" w:rsidRPr="0043678D">
        <w:rPr>
          <w:rFonts w:ascii="Abadi" w:hAnsi="Abadi"/>
          <w:sz w:val="24"/>
          <w:szCs w:val="24"/>
        </w:rPr>
        <w:t xml:space="preserve">por no establecer límites máximos en la oferta de </w:t>
      </w:r>
      <w:r w:rsidR="009538D8" w:rsidRPr="0043678D">
        <w:rPr>
          <w:rFonts w:ascii="Abadi" w:hAnsi="Abadi"/>
          <w:sz w:val="24"/>
          <w:szCs w:val="24"/>
        </w:rPr>
        <w:t>horas</w:t>
      </w:r>
      <w:r w:rsidR="0043678D" w:rsidRPr="0043678D">
        <w:rPr>
          <w:rFonts w:ascii="Abadi" w:hAnsi="Abadi"/>
          <w:sz w:val="24"/>
          <w:szCs w:val="24"/>
        </w:rPr>
        <w:t xml:space="preserve"> pero </w:t>
      </w:r>
      <w:r w:rsidR="00177BDC">
        <w:rPr>
          <w:rFonts w:ascii="Abadi" w:hAnsi="Abadi"/>
          <w:sz w:val="24"/>
          <w:szCs w:val="24"/>
        </w:rPr>
        <w:t>procedi</w:t>
      </w:r>
      <w:r w:rsidR="00C94589">
        <w:rPr>
          <w:rFonts w:ascii="Abadi" w:hAnsi="Abadi"/>
          <w:sz w:val="24"/>
          <w:szCs w:val="24"/>
        </w:rPr>
        <w:t>ó</w:t>
      </w:r>
      <w:r w:rsidR="00177BDC">
        <w:rPr>
          <w:rFonts w:ascii="Abadi" w:hAnsi="Abadi"/>
          <w:sz w:val="24"/>
          <w:szCs w:val="24"/>
        </w:rPr>
        <w:t xml:space="preserve"> </w:t>
      </w:r>
      <w:r w:rsidR="00B97F85">
        <w:rPr>
          <w:rFonts w:ascii="Abadi" w:hAnsi="Abadi"/>
          <w:sz w:val="24"/>
          <w:szCs w:val="24"/>
        </w:rPr>
        <w:t xml:space="preserve">el órgano de contratación a su </w:t>
      </w:r>
      <w:r w:rsidR="00177BDC">
        <w:rPr>
          <w:rFonts w:ascii="Abadi" w:hAnsi="Abadi"/>
          <w:sz w:val="24"/>
          <w:szCs w:val="24"/>
        </w:rPr>
        <w:t>posterior r</w:t>
      </w:r>
      <w:r w:rsidR="00B97F85">
        <w:rPr>
          <w:rFonts w:ascii="Abadi" w:hAnsi="Abadi"/>
          <w:sz w:val="24"/>
          <w:szCs w:val="24"/>
        </w:rPr>
        <w:t>ectificación fijando un número amplísimo de horas posibles a</w:t>
      </w:r>
      <w:r w:rsidR="00C94589">
        <w:rPr>
          <w:rFonts w:ascii="Abadi" w:hAnsi="Abadi"/>
          <w:sz w:val="24"/>
          <w:szCs w:val="24"/>
        </w:rPr>
        <w:t xml:space="preserve"> realizar</w:t>
      </w:r>
      <w:r w:rsidR="00B97F85">
        <w:rPr>
          <w:rFonts w:ascii="Abadi" w:hAnsi="Abadi"/>
          <w:sz w:val="24"/>
          <w:szCs w:val="24"/>
        </w:rPr>
        <w:t xml:space="preserve"> con una ponderación del 40%. El TACPA ante nuevo recurso especial considera que ya se ha cumplido la obligación de determinar un límite máximo lo que anulará el TSJ de Aragón en la sentencia referida.</w:t>
      </w:r>
      <w:r w:rsidR="001233C0">
        <w:rPr>
          <w:rFonts w:ascii="Abadi" w:hAnsi="Abadi"/>
          <w:sz w:val="24"/>
          <w:szCs w:val="24"/>
        </w:rPr>
        <w:t xml:space="preserve"> En todo caso lo que interesa de esta cuestión es que tanto el TSJ como el TACPA entienden que una oferta complementaria de horas se rige como mejora por el art. 145.7 LCSP</w:t>
      </w:r>
      <w:r w:rsidR="00594B1C">
        <w:rPr>
          <w:rFonts w:ascii="Abadi" w:hAnsi="Abadi"/>
          <w:sz w:val="24"/>
          <w:szCs w:val="24"/>
        </w:rPr>
        <w:t xml:space="preserve"> con establecimiento de límites</w:t>
      </w:r>
      <w:r w:rsidR="001233C0">
        <w:rPr>
          <w:rFonts w:ascii="Abadi" w:hAnsi="Abadi"/>
          <w:sz w:val="24"/>
          <w:szCs w:val="24"/>
        </w:rPr>
        <w:t>.</w:t>
      </w:r>
    </w:p>
    <w:p w14:paraId="10795FEC" w14:textId="7BD8F0D8" w:rsidR="00B97F85" w:rsidRDefault="00B1553F" w:rsidP="00E5048E">
      <w:pPr>
        <w:jc w:val="both"/>
        <w:rPr>
          <w:rFonts w:ascii="Abadi" w:hAnsi="Abadi"/>
          <w:sz w:val="24"/>
          <w:szCs w:val="24"/>
        </w:rPr>
      </w:pPr>
      <w:r>
        <w:rPr>
          <w:rFonts w:ascii="Abadi" w:hAnsi="Abadi"/>
          <w:sz w:val="24"/>
          <w:szCs w:val="24"/>
        </w:rPr>
        <w:lastRenderedPageBreak/>
        <w:t xml:space="preserve">El </w:t>
      </w:r>
      <w:r w:rsidRPr="00B1553F">
        <w:rPr>
          <w:rFonts w:ascii="Abadi" w:hAnsi="Abadi"/>
          <w:sz w:val="24"/>
          <w:szCs w:val="24"/>
        </w:rPr>
        <w:t>Tribunal Administrativo de Recursos Contractuales de la Junta de Andalucía</w:t>
      </w:r>
      <w:r>
        <w:rPr>
          <w:rFonts w:ascii="Abadi" w:hAnsi="Abadi"/>
          <w:sz w:val="24"/>
          <w:szCs w:val="24"/>
        </w:rPr>
        <w:t xml:space="preserve"> (TA</w:t>
      </w:r>
      <w:r w:rsidR="00E21EF3">
        <w:rPr>
          <w:rFonts w:ascii="Abadi" w:hAnsi="Abadi"/>
          <w:sz w:val="24"/>
          <w:szCs w:val="24"/>
        </w:rPr>
        <w:t xml:space="preserve">RCJA) en resolución </w:t>
      </w:r>
      <w:r w:rsidR="002349A0">
        <w:rPr>
          <w:rFonts w:ascii="Abadi" w:hAnsi="Abadi"/>
          <w:sz w:val="24"/>
          <w:szCs w:val="24"/>
        </w:rPr>
        <w:t xml:space="preserve">19/2020 de 30 de enero </w:t>
      </w:r>
      <w:r w:rsidR="00E21EF3">
        <w:rPr>
          <w:rFonts w:ascii="Abadi" w:hAnsi="Abadi"/>
          <w:sz w:val="24"/>
          <w:szCs w:val="24"/>
        </w:rPr>
        <w:t xml:space="preserve">en licitación en la que se valora la </w:t>
      </w:r>
      <w:r w:rsidR="002349A0">
        <w:rPr>
          <w:rFonts w:ascii="Abadi" w:hAnsi="Abadi"/>
          <w:sz w:val="24"/>
          <w:szCs w:val="24"/>
        </w:rPr>
        <w:t xml:space="preserve">mayor oferta de </w:t>
      </w:r>
      <w:r w:rsidR="00FB5855">
        <w:rPr>
          <w:rFonts w:ascii="Abadi" w:hAnsi="Abadi"/>
          <w:sz w:val="24"/>
          <w:szCs w:val="24"/>
        </w:rPr>
        <w:t xml:space="preserve">“Mejoras en la composición de equipo de trabajo” </w:t>
      </w:r>
      <w:r w:rsidR="002956D8">
        <w:rPr>
          <w:rFonts w:ascii="Abadi" w:hAnsi="Abadi"/>
          <w:sz w:val="24"/>
          <w:szCs w:val="24"/>
        </w:rPr>
        <w:t xml:space="preserve">no plantea ninguna objeción legal a la exigencia de </w:t>
      </w:r>
      <w:r w:rsidR="001B44A1">
        <w:rPr>
          <w:rFonts w:ascii="Abadi" w:hAnsi="Abadi"/>
          <w:sz w:val="24"/>
          <w:szCs w:val="24"/>
        </w:rPr>
        <w:t>las condiciones del artículo 145.7 en el caso concreto.</w:t>
      </w:r>
    </w:p>
    <w:p w14:paraId="2E0BA35F" w14:textId="4A64D315" w:rsidR="001B44A1" w:rsidRPr="0043678D" w:rsidRDefault="001B44A1" w:rsidP="00E5048E">
      <w:pPr>
        <w:jc w:val="both"/>
        <w:rPr>
          <w:rFonts w:ascii="Abadi" w:hAnsi="Abadi"/>
          <w:sz w:val="24"/>
          <w:szCs w:val="24"/>
        </w:rPr>
      </w:pPr>
      <w:r>
        <w:rPr>
          <w:rFonts w:ascii="Abadi" w:hAnsi="Abadi"/>
          <w:sz w:val="24"/>
          <w:szCs w:val="24"/>
        </w:rPr>
        <w:t>En fin, la interpretación del TACRC sobre el propio concepto de mejora como prestación nueva no contemplada en el PPT no es compartida</w:t>
      </w:r>
      <w:r w:rsidR="00362AAC">
        <w:rPr>
          <w:rFonts w:ascii="Abadi" w:hAnsi="Abadi"/>
          <w:sz w:val="24"/>
          <w:szCs w:val="24"/>
        </w:rPr>
        <w:t xml:space="preserve">, exime </w:t>
      </w:r>
      <w:r w:rsidR="00466523">
        <w:rPr>
          <w:rFonts w:ascii="Abadi" w:hAnsi="Abadi"/>
          <w:sz w:val="24"/>
          <w:szCs w:val="24"/>
        </w:rPr>
        <w:t xml:space="preserve">a determinadas mejoras </w:t>
      </w:r>
      <w:r w:rsidR="00362AAC">
        <w:rPr>
          <w:rFonts w:ascii="Abadi" w:hAnsi="Abadi"/>
          <w:sz w:val="24"/>
          <w:szCs w:val="24"/>
        </w:rPr>
        <w:t xml:space="preserve">de las condiciones exigidas por el legislador </w:t>
      </w:r>
      <w:r w:rsidR="00466523">
        <w:rPr>
          <w:rFonts w:ascii="Abadi" w:hAnsi="Abadi"/>
          <w:sz w:val="24"/>
          <w:szCs w:val="24"/>
        </w:rPr>
        <w:t xml:space="preserve">y podemos concluir que es una interpretación </w:t>
      </w:r>
      <w:r w:rsidR="00714A09">
        <w:rPr>
          <w:rFonts w:ascii="Abadi" w:hAnsi="Abadi"/>
          <w:sz w:val="24"/>
          <w:szCs w:val="24"/>
        </w:rPr>
        <w:t>que</w:t>
      </w:r>
      <w:r w:rsidR="00B468A7">
        <w:rPr>
          <w:rFonts w:ascii="Abadi" w:hAnsi="Abadi"/>
          <w:sz w:val="24"/>
          <w:szCs w:val="24"/>
        </w:rPr>
        <w:t xml:space="preserve"> contra</w:t>
      </w:r>
      <w:r w:rsidR="009B56D4">
        <w:rPr>
          <w:rFonts w:ascii="Abadi" w:hAnsi="Abadi"/>
          <w:sz w:val="24"/>
          <w:szCs w:val="24"/>
        </w:rPr>
        <w:t>dice</w:t>
      </w:r>
      <w:r w:rsidR="00714A09">
        <w:rPr>
          <w:rFonts w:ascii="Abadi" w:hAnsi="Abadi"/>
          <w:sz w:val="24"/>
          <w:szCs w:val="24"/>
        </w:rPr>
        <w:t xml:space="preserve"> </w:t>
      </w:r>
      <w:r w:rsidR="00B468A7">
        <w:rPr>
          <w:rFonts w:ascii="Abadi" w:hAnsi="Abadi"/>
          <w:sz w:val="24"/>
          <w:szCs w:val="24"/>
        </w:rPr>
        <w:t>l</w:t>
      </w:r>
      <w:r w:rsidR="00714A09">
        <w:rPr>
          <w:rFonts w:ascii="Abadi" w:hAnsi="Abadi"/>
          <w:sz w:val="24"/>
          <w:szCs w:val="24"/>
        </w:rPr>
        <w:t>a voluntad del legislador de la LCSP cuando estableció condiciones estrictas</w:t>
      </w:r>
      <w:r w:rsidR="00466523">
        <w:rPr>
          <w:rFonts w:ascii="Abadi" w:hAnsi="Abadi"/>
          <w:sz w:val="24"/>
          <w:szCs w:val="24"/>
        </w:rPr>
        <w:t xml:space="preserve"> </w:t>
      </w:r>
      <w:r w:rsidR="00714A09">
        <w:rPr>
          <w:rFonts w:ascii="Abadi" w:hAnsi="Abadi"/>
          <w:sz w:val="24"/>
          <w:szCs w:val="24"/>
        </w:rPr>
        <w:t>para la posibilidad de establecer mejoras como criterio de adjudicación</w:t>
      </w:r>
      <w:r w:rsidR="00466523">
        <w:rPr>
          <w:rFonts w:ascii="Abadi" w:hAnsi="Abadi"/>
          <w:sz w:val="24"/>
          <w:szCs w:val="24"/>
        </w:rPr>
        <w:t>.</w:t>
      </w:r>
      <w:r w:rsidR="00BD2DAA">
        <w:rPr>
          <w:rFonts w:ascii="Abadi" w:hAnsi="Abadi"/>
          <w:sz w:val="24"/>
          <w:szCs w:val="24"/>
        </w:rPr>
        <w:t xml:space="preserve"> Así, </w:t>
      </w:r>
      <w:r w:rsidR="00020955">
        <w:rPr>
          <w:rFonts w:ascii="Abadi" w:hAnsi="Abadi"/>
          <w:sz w:val="24"/>
          <w:szCs w:val="24"/>
        </w:rPr>
        <w:t xml:space="preserve">el legislador, </w:t>
      </w:r>
      <w:r w:rsidR="00BD2DAA">
        <w:rPr>
          <w:rFonts w:ascii="Abadi" w:hAnsi="Abadi"/>
          <w:sz w:val="24"/>
          <w:szCs w:val="24"/>
        </w:rPr>
        <w:t>en un movimiento pendular reactivo</w:t>
      </w:r>
      <w:r w:rsidR="00594B1C">
        <w:rPr>
          <w:rFonts w:ascii="Abadi" w:hAnsi="Abadi"/>
          <w:sz w:val="24"/>
          <w:szCs w:val="24"/>
        </w:rPr>
        <w:t xml:space="preserve"> frente al abuso </w:t>
      </w:r>
      <w:r w:rsidR="00020955">
        <w:rPr>
          <w:rFonts w:ascii="Abadi" w:hAnsi="Abadi"/>
          <w:sz w:val="24"/>
          <w:szCs w:val="24"/>
        </w:rPr>
        <w:t xml:space="preserve">por las Administraciones Públicas </w:t>
      </w:r>
      <w:r w:rsidR="00594B1C">
        <w:rPr>
          <w:rFonts w:ascii="Abadi" w:hAnsi="Abadi"/>
          <w:sz w:val="24"/>
          <w:szCs w:val="24"/>
        </w:rPr>
        <w:t xml:space="preserve">de la utilización de las mejoras como criterio de </w:t>
      </w:r>
      <w:r w:rsidR="00020955">
        <w:rPr>
          <w:rFonts w:ascii="Abadi" w:hAnsi="Abadi"/>
          <w:sz w:val="24"/>
          <w:szCs w:val="24"/>
        </w:rPr>
        <w:t>adjudicación</w:t>
      </w:r>
      <w:r w:rsidR="00594B1C">
        <w:rPr>
          <w:rFonts w:ascii="Abadi" w:hAnsi="Abadi"/>
          <w:sz w:val="24"/>
          <w:szCs w:val="24"/>
        </w:rPr>
        <w:t xml:space="preserve"> con altas ponderaciones y una definición de contenido ambigua</w:t>
      </w:r>
      <w:r w:rsidR="00020955">
        <w:rPr>
          <w:rFonts w:ascii="Abadi" w:hAnsi="Abadi"/>
          <w:sz w:val="24"/>
          <w:szCs w:val="24"/>
        </w:rPr>
        <w:t xml:space="preserve">, </w:t>
      </w:r>
      <w:r w:rsidR="00BD2DAA">
        <w:rPr>
          <w:rFonts w:ascii="Abadi" w:hAnsi="Abadi"/>
          <w:sz w:val="24"/>
          <w:szCs w:val="24"/>
        </w:rPr>
        <w:t xml:space="preserve">estableció que las mejoras no podrían </w:t>
      </w:r>
      <w:r w:rsidR="00245C15">
        <w:rPr>
          <w:rFonts w:ascii="Abadi" w:hAnsi="Abadi"/>
          <w:sz w:val="24"/>
          <w:szCs w:val="24"/>
        </w:rPr>
        <w:t xml:space="preserve">tener </w:t>
      </w:r>
      <w:r w:rsidR="00BD2DAA">
        <w:rPr>
          <w:rFonts w:ascii="Abadi" w:hAnsi="Abadi"/>
          <w:sz w:val="24"/>
          <w:szCs w:val="24"/>
        </w:rPr>
        <w:t>una ponderació</w:t>
      </w:r>
      <w:r w:rsidR="005A25B5">
        <w:rPr>
          <w:rFonts w:ascii="Abadi" w:hAnsi="Abadi"/>
          <w:sz w:val="24"/>
          <w:szCs w:val="24"/>
        </w:rPr>
        <w:t>n</w:t>
      </w:r>
      <w:r w:rsidR="00BD2DAA">
        <w:rPr>
          <w:rFonts w:ascii="Abadi" w:hAnsi="Abadi"/>
          <w:sz w:val="24"/>
          <w:szCs w:val="24"/>
        </w:rPr>
        <w:t xml:space="preserve"> superior al 2,5% de la puntuación total cuando estas mejoras se valoraran con criterios de juicio de valor y estos criterios fueran mayoritarios (art. </w:t>
      </w:r>
      <w:r w:rsidR="0020674E">
        <w:rPr>
          <w:rFonts w:ascii="Abadi" w:hAnsi="Abadi"/>
          <w:sz w:val="24"/>
          <w:szCs w:val="24"/>
        </w:rPr>
        <w:t>145.7</w:t>
      </w:r>
      <w:r w:rsidR="005A25B5">
        <w:rPr>
          <w:rFonts w:ascii="Abadi" w:hAnsi="Abadi"/>
          <w:sz w:val="24"/>
          <w:szCs w:val="24"/>
        </w:rPr>
        <w:t>, segundo párrafo</w:t>
      </w:r>
      <w:r w:rsidR="00245C15">
        <w:rPr>
          <w:rFonts w:ascii="Abadi" w:hAnsi="Abadi"/>
          <w:sz w:val="24"/>
          <w:szCs w:val="24"/>
        </w:rPr>
        <w:t xml:space="preserve"> LCSP</w:t>
      </w:r>
      <w:r w:rsidR="005A25B5">
        <w:rPr>
          <w:rFonts w:ascii="Abadi" w:hAnsi="Abadi"/>
          <w:sz w:val="24"/>
          <w:szCs w:val="24"/>
        </w:rPr>
        <w:t>).</w:t>
      </w:r>
    </w:p>
    <w:p w14:paraId="1918703E" w14:textId="6AE0AEB8" w:rsidR="006F28A2" w:rsidRDefault="00597277" w:rsidP="006F28A2">
      <w:pPr>
        <w:jc w:val="both"/>
        <w:rPr>
          <w:rFonts w:ascii="Abadi" w:hAnsi="Abadi"/>
          <w:sz w:val="24"/>
          <w:szCs w:val="24"/>
        </w:rPr>
      </w:pPr>
      <w:r>
        <w:rPr>
          <w:rFonts w:ascii="Abadi" w:hAnsi="Abadi"/>
          <w:sz w:val="24"/>
          <w:szCs w:val="24"/>
        </w:rPr>
        <w:t>Concluiremos</w:t>
      </w:r>
      <w:r w:rsidR="008B406E">
        <w:rPr>
          <w:rFonts w:ascii="Abadi" w:hAnsi="Abadi"/>
          <w:sz w:val="24"/>
          <w:szCs w:val="24"/>
        </w:rPr>
        <w:t xml:space="preserve"> que las mejoras </w:t>
      </w:r>
      <w:r w:rsidR="00770BAB">
        <w:rPr>
          <w:rFonts w:ascii="Abadi" w:hAnsi="Abadi"/>
          <w:sz w:val="24"/>
          <w:szCs w:val="24"/>
        </w:rPr>
        <w:t>serán todas aquellas prestaciones adicionales a las establecidas en el PPT sin que deba</w:t>
      </w:r>
      <w:r w:rsidR="00E336C0">
        <w:rPr>
          <w:rFonts w:ascii="Abadi" w:hAnsi="Abadi"/>
          <w:sz w:val="24"/>
          <w:szCs w:val="24"/>
        </w:rPr>
        <w:t xml:space="preserve"> entenderse que solo lo serán</w:t>
      </w:r>
      <w:r w:rsidR="00770BAB">
        <w:rPr>
          <w:rFonts w:ascii="Abadi" w:hAnsi="Abadi"/>
          <w:sz w:val="24"/>
          <w:szCs w:val="24"/>
        </w:rPr>
        <w:t xml:space="preserve"> </w:t>
      </w:r>
      <w:r w:rsidR="00232D54">
        <w:rPr>
          <w:rFonts w:ascii="Abadi" w:hAnsi="Abadi"/>
          <w:sz w:val="24"/>
          <w:szCs w:val="24"/>
        </w:rPr>
        <w:t xml:space="preserve">las </w:t>
      </w:r>
      <w:r w:rsidR="00770BAB">
        <w:rPr>
          <w:rFonts w:ascii="Abadi" w:hAnsi="Abadi"/>
          <w:sz w:val="24"/>
          <w:szCs w:val="24"/>
        </w:rPr>
        <w:t xml:space="preserve">nuevas prestaciones </w:t>
      </w:r>
      <w:r w:rsidR="00714A09">
        <w:rPr>
          <w:rFonts w:ascii="Abadi" w:hAnsi="Abadi"/>
          <w:sz w:val="24"/>
          <w:szCs w:val="24"/>
        </w:rPr>
        <w:t>si no</w:t>
      </w:r>
      <w:r w:rsidR="00770BAB">
        <w:rPr>
          <w:rFonts w:ascii="Abadi" w:hAnsi="Abadi"/>
          <w:sz w:val="24"/>
          <w:szCs w:val="24"/>
        </w:rPr>
        <w:t xml:space="preserve">, al contrario, incluyendo aquellas que amplíen </w:t>
      </w:r>
      <w:r w:rsidR="00DE3EF5">
        <w:rPr>
          <w:rFonts w:ascii="Abadi" w:hAnsi="Abadi"/>
          <w:sz w:val="24"/>
          <w:szCs w:val="24"/>
        </w:rPr>
        <w:t>los requerimientos del PPT.</w:t>
      </w:r>
      <w:r w:rsidR="00714A09">
        <w:rPr>
          <w:rFonts w:ascii="Abadi" w:hAnsi="Abadi"/>
          <w:sz w:val="24"/>
          <w:szCs w:val="24"/>
        </w:rPr>
        <w:t xml:space="preserve"> </w:t>
      </w:r>
      <w:r w:rsidR="008B0579">
        <w:rPr>
          <w:rFonts w:ascii="Abadi" w:hAnsi="Abadi"/>
          <w:sz w:val="24"/>
          <w:szCs w:val="24"/>
        </w:rPr>
        <w:t xml:space="preserve">Así también lo ha considerado la propia Junta Consultiva de Contratación Pública del Estado en Informe </w:t>
      </w:r>
      <w:r w:rsidR="007B38EC">
        <w:rPr>
          <w:rFonts w:ascii="Abadi" w:hAnsi="Abadi"/>
          <w:sz w:val="24"/>
          <w:szCs w:val="24"/>
        </w:rPr>
        <w:t>1</w:t>
      </w:r>
      <w:r w:rsidR="008B0579">
        <w:rPr>
          <w:rFonts w:ascii="Abadi" w:hAnsi="Abadi"/>
          <w:sz w:val="24"/>
          <w:szCs w:val="24"/>
        </w:rPr>
        <w:t>/2021</w:t>
      </w:r>
      <w:r w:rsidR="00207064">
        <w:rPr>
          <w:rFonts w:ascii="Abadi" w:hAnsi="Abadi"/>
          <w:sz w:val="24"/>
          <w:szCs w:val="24"/>
        </w:rPr>
        <w:t xml:space="preserve"> de 1 de enero afirmando que, “</w:t>
      </w:r>
      <w:r w:rsidR="00445C57" w:rsidRPr="00445C57">
        <w:rPr>
          <w:rFonts w:ascii="Abadi" w:hAnsi="Abadi"/>
          <w:sz w:val="24"/>
          <w:szCs w:val="24"/>
        </w:rPr>
        <w:t>En conclusión, en los casos en los que el objeto del contrato permita establecer un número de unidades mínimas necesarias para satisfacer las exigencias del contrato y en que tales unidades puedan verse incrementadas al objeto de mejorar la calidad de la prestación, pero sin variar ni ampliar su objeto cabría, en los términos previstos en el pliego, admitir como criterio de adjudicación la mejora consistente en incrementar la ejecución de prestaciones análogas a la principal, pero únicamente como criterio adicional, accesorio y residual en la adjudicación del contrato y para aquellos objetos contractuales que así lo permitan.</w:t>
      </w:r>
      <w:r w:rsidR="00445C57">
        <w:rPr>
          <w:rFonts w:ascii="Abadi" w:hAnsi="Abadi"/>
          <w:sz w:val="24"/>
          <w:szCs w:val="24"/>
        </w:rPr>
        <w:t>”</w:t>
      </w:r>
    </w:p>
    <w:p w14:paraId="763ECD0F" w14:textId="77777777" w:rsidR="00DF4651" w:rsidRDefault="00DF4651" w:rsidP="006F28A2">
      <w:pPr>
        <w:jc w:val="both"/>
        <w:rPr>
          <w:rFonts w:ascii="Abadi" w:hAnsi="Abadi"/>
          <w:sz w:val="24"/>
          <w:szCs w:val="24"/>
        </w:rPr>
      </w:pPr>
    </w:p>
    <w:p w14:paraId="158FBA8F" w14:textId="1637C1BF" w:rsidR="002346FB" w:rsidRPr="002346FB" w:rsidRDefault="00CF2788" w:rsidP="002346FB">
      <w:pPr>
        <w:pStyle w:val="Pargrafdellista"/>
        <w:numPr>
          <w:ilvl w:val="0"/>
          <w:numId w:val="2"/>
        </w:numPr>
        <w:jc w:val="both"/>
        <w:rPr>
          <w:rFonts w:ascii="Abadi" w:hAnsi="Abadi"/>
          <w:sz w:val="24"/>
          <w:szCs w:val="24"/>
        </w:rPr>
      </w:pPr>
      <w:r>
        <w:rPr>
          <w:rFonts w:ascii="Abadi" w:hAnsi="Abadi"/>
          <w:sz w:val="24"/>
          <w:szCs w:val="24"/>
        </w:rPr>
        <w:t>Valoración de un l</w:t>
      </w:r>
      <w:r w:rsidR="00DF4651">
        <w:rPr>
          <w:rFonts w:ascii="Abadi" w:hAnsi="Abadi"/>
          <w:sz w:val="24"/>
          <w:szCs w:val="24"/>
        </w:rPr>
        <w:t>ímite máximo</w:t>
      </w:r>
      <w:r w:rsidR="002346FB">
        <w:rPr>
          <w:rFonts w:ascii="Abadi" w:hAnsi="Abadi"/>
          <w:sz w:val="24"/>
          <w:szCs w:val="24"/>
        </w:rPr>
        <w:t xml:space="preserve"> en las mejoras de bolsas de horas </w:t>
      </w:r>
      <w:r w:rsidR="00714A09">
        <w:rPr>
          <w:rFonts w:ascii="Abadi" w:hAnsi="Abadi"/>
          <w:sz w:val="24"/>
          <w:szCs w:val="24"/>
        </w:rPr>
        <w:t>adicionales</w:t>
      </w:r>
      <w:r w:rsidR="007C2A68">
        <w:rPr>
          <w:rFonts w:ascii="Abadi" w:hAnsi="Abadi"/>
          <w:sz w:val="24"/>
          <w:szCs w:val="24"/>
        </w:rPr>
        <w:t>.</w:t>
      </w:r>
    </w:p>
    <w:p w14:paraId="03B53227" w14:textId="543C0306" w:rsidR="006F28A2" w:rsidRDefault="00252CF5" w:rsidP="006F28A2">
      <w:pPr>
        <w:jc w:val="both"/>
        <w:rPr>
          <w:rFonts w:ascii="Abadi" w:hAnsi="Abadi"/>
          <w:sz w:val="24"/>
          <w:szCs w:val="24"/>
        </w:rPr>
      </w:pPr>
      <w:r>
        <w:rPr>
          <w:rFonts w:ascii="Abadi" w:hAnsi="Abadi"/>
          <w:sz w:val="24"/>
          <w:szCs w:val="24"/>
        </w:rPr>
        <w:t xml:space="preserve">Quizás por ser más reciente vamos a referir </w:t>
      </w:r>
      <w:r w:rsidR="0003306D">
        <w:rPr>
          <w:rFonts w:ascii="Abadi" w:hAnsi="Abadi"/>
          <w:sz w:val="24"/>
          <w:szCs w:val="24"/>
        </w:rPr>
        <w:t>el acuerdo del TACPA</w:t>
      </w:r>
      <w:r w:rsidR="00775861">
        <w:rPr>
          <w:rFonts w:ascii="Abadi" w:hAnsi="Abadi"/>
          <w:sz w:val="24"/>
          <w:szCs w:val="24"/>
        </w:rPr>
        <w:t xml:space="preserve"> 6</w:t>
      </w:r>
      <w:r w:rsidR="0003306D" w:rsidRPr="0003306D">
        <w:rPr>
          <w:rFonts w:ascii="Abadi" w:hAnsi="Abadi"/>
          <w:sz w:val="24"/>
          <w:szCs w:val="24"/>
        </w:rPr>
        <w:t>/202</w:t>
      </w:r>
      <w:r w:rsidR="00775861">
        <w:rPr>
          <w:rFonts w:ascii="Abadi" w:hAnsi="Abadi"/>
          <w:sz w:val="24"/>
          <w:szCs w:val="24"/>
        </w:rPr>
        <w:t>4</w:t>
      </w:r>
      <w:r w:rsidR="0003306D">
        <w:rPr>
          <w:rFonts w:ascii="Abadi" w:hAnsi="Abadi"/>
          <w:sz w:val="24"/>
          <w:szCs w:val="24"/>
        </w:rPr>
        <w:t xml:space="preserve"> </w:t>
      </w:r>
      <w:r w:rsidR="007C2A68">
        <w:rPr>
          <w:rFonts w:ascii="Abadi" w:hAnsi="Abadi"/>
          <w:sz w:val="24"/>
          <w:szCs w:val="24"/>
        </w:rPr>
        <w:t>de 18 de enero de 2024.</w:t>
      </w:r>
      <w:r w:rsidR="00AA7625">
        <w:rPr>
          <w:rFonts w:ascii="Abadi" w:hAnsi="Abadi"/>
          <w:sz w:val="24"/>
          <w:szCs w:val="24"/>
        </w:rPr>
        <w:t xml:space="preserve"> Aprobado respecto licitación de servicios de limpieza en el que se valoraba la oferta como mejora de una bolsa de horas sin establecer límite máximo.</w:t>
      </w:r>
      <w:r w:rsidR="007C2A68">
        <w:rPr>
          <w:rFonts w:ascii="Abadi" w:hAnsi="Abadi"/>
          <w:sz w:val="24"/>
          <w:szCs w:val="24"/>
        </w:rPr>
        <w:t xml:space="preserve"> </w:t>
      </w:r>
      <w:r w:rsidR="00C1236C">
        <w:rPr>
          <w:rFonts w:ascii="Abadi" w:hAnsi="Abadi"/>
          <w:sz w:val="24"/>
          <w:szCs w:val="24"/>
        </w:rPr>
        <w:t>E</w:t>
      </w:r>
      <w:r w:rsidR="00362B99">
        <w:rPr>
          <w:rFonts w:ascii="Abadi" w:hAnsi="Abadi"/>
          <w:sz w:val="24"/>
          <w:szCs w:val="24"/>
        </w:rPr>
        <w:t>n el acuerdo se</w:t>
      </w:r>
      <w:r w:rsidR="0003306D">
        <w:rPr>
          <w:rFonts w:ascii="Abadi" w:hAnsi="Abadi"/>
          <w:sz w:val="24"/>
          <w:szCs w:val="24"/>
        </w:rPr>
        <w:t xml:space="preserve"> </w:t>
      </w:r>
      <w:r w:rsidR="00413747">
        <w:rPr>
          <w:rFonts w:ascii="Abadi" w:hAnsi="Abadi"/>
          <w:sz w:val="24"/>
          <w:szCs w:val="24"/>
        </w:rPr>
        <w:t xml:space="preserve">informa de la persona que ha sido Ponente en su redacción lo que nos parece muy acertado y, </w:t>
      </w:r>
      <w:r w:rsidR="00C1236C">
        <w:rPr>
          <w:rFonts w:ascii="Abadi" w:hAnsi="Abadi"/>
          <w:sz w:val="24"/>
          <w:szCs w:val="24"/>
        </w:rPr>
        <w:t>por</w:t>
      </w:r>
      <w:r w:rsidR="00413747">
        <w:rPr>
          <w:rFonts w:ascii="Abadi" w:hAnsi="Abadi"/>
          <w:sz w:val="24"/>
          <w:szCs w:val="24"/>
        </w:rPr>
        <w:t xml:space="preserve"> contra, no </w:t>
      </w:r>
      <w:r w:rsidR="003F6664">
        <w:rPr>
          <w:rFonts w:ascii="Abadi" w:hAnsi="Abadi"/>
          <w:sz w:val="24"/>
          <w:szCs w:val="24"/>
        </w:rPr>
        <w:t>se i</w:t>
      </w:r>
      <w:r w:rsidR="00413747">
        <w:rPr>
          <w:rFonts w:ascii="Abadi" w:hAnsi="Abadi"/>
          <w:sz w:val="24"/>
          <w:szCs w:val="24"/>
        </w:rPr>
        <w:t xml:space="preserve">dentifica la fecha de la resolución </w:t>
      </w:r>
      <w:r w:rsidR="005A524A">
        <w:rPr>
          <w:rFonts w:ascii="Abadi" w:hAnsi="Abadi"/>
          <w:sz w:val="24"/>
          <w:szCs w:val="24"/>
        </w:rPr>
        <w:t xml:space="preserve">(aunque sí se hace en el resumen en internet </w:t>
      </w:r>
      <w:r w:rsidR="000226FD">
        <w:rPr>
          <w:rFonts w:ascii="Abadi" w:hAnsi="Abadi"/>
          <w:sz w:val="24"/>
          <w:szCs w:val="24"/>
        </w:rPr>
        <w:t xml:space="preserve">y resulta ser de </w:t>
      </w:r>
      <w:r w:rsidR="00E02FE7">
        <w:rPr>
          <w:rFonts w:ascii="Abadi" w:hAnsi="Abadi"/>
          <w:sz w:val="24"/>
          <w:szCs w:val="24"/>
        </w:rPr>
        <w:t>18 de enero de 2024</w:t>
      </w:r>
      <w:r w:rsidR="000226FD">
        <w:rPr>
          <w:rFonts w:ascii="Abadi" w:hAnsi="Abadi"/>
          <w:sz w:val="24"/>
          <w:szCs w:val="24"/>
        </w:rPr>
        <w:t xml:space="preserve">) </w:t>
      </w:r>
      <w:r w:rsidR="00413747">
        <w:rPr>
          <w:rFonts w:ascii="Abadi" w:hAnsi="Abadi"/>
          <w:sz w:val="24"/>
          <w:szCs w:val="24"/>
        </w:rPr>
        <w:t>ni se publica con las firmas</w:t>
      </w:r>
      <w:r w:rsidR="00D12A16">
        <w:rPr>
          <w:rFonts w:ascii="Abadi" w:hAnsi="Abadi"/>
          <w:sz w:val="24"/>
          <w:szCs w:val="24"/>
        </w:rPr>
        <w:t xml:space="preserve"> de presidencia y secretar</w:t>
      </w:r>
      <w:r w:rsidR="000226FD">
        <w:rPr>
          <w:rFonts w:ascii="Abadi" w:hAnsi="Abadi"/>
          <w:sz w:val="24"/>
          <w:szCs w:val="24"/>
        </w:rPr>
        <w:t>í</w:t>
      </w:r>
      <w:r w:rsidR="00D12A16">
        <w:rPr>
          <w:rFonts w:ascii="Abadi" w:hAnsi="Abadi"/>
          <w:sz w:val="24"/>
          <w:szCs w:val="24"/>
        </w:rPr>
        <w:t>a del Tribunal.</w:t>
      </w:r>
      <w:r w:rsidR="00A36DC3">
        <w:rPr>
          <w:rFonts w:ascii="Abadi" w:hAnsi="Abadi"/>
          <w:sz w:val="24"/>
          <w:szCs w:val="24"/>
        </w:rPr>
        <w:t xml:space="preserve"> El acuerdo se aprueba así</w:t>
      </w:r>
      <w:r w:rsidR="00E63CB0">
        <w:rPr>
          <w:rFonts w:ascii="Abadi" w:hAnsi="Abadi"/>
          <w:sz w:val="24"/>
          <w:szCs w:val="24"/>
        </w:rPr>
        <w:t xml:space="preserve"> </w:t>
      </w:r>
      <w:r w:rsidR="00F51210">
        <w:rPr>
          <w:rFonts w:ascii="Abadi" w:hAnsi="Abadi"/>
          <w:sz w:val="24"/>
          <w:szCs w:val="24"/>
        </w:rPr>
        <w:t>casi cuatro</w:t>
      </w:r>
      <w:r w:rsidR="00E63CB0">
        <w:rPr>
          <w:rFonts w:ascii="Abadi" w:hAnsi="Abadi"/>
          <w:sz w:val="24"/>
          <w:szCs w:val="24"/>
        </w:rPr>
        <w:t xml:space="preserve"> meses después de la fecha de registro del recurso especial.</w:t>
      </w:r>
    </w:p>
    <w:p w14:paraId="284F0938" w14:textId="7382C6AA" w:rsidR="00E02FE7" w:rsidRDefault="00E02FE7" w:rsidP="006F28A2">
      <w:pPr>
        <w:jc w:val="both"/>
        <w:rPr>
          <w:rFonts w:ascii="Abadi" w:hAnsi="Abadi"/>
          <w:sz w:val="24"/>
          <w:szCs w:val="24"/>
        </w:rPr>
      </w:pPr>
      <w:r>
        <w:rPr>
          <w:rFonts w:ascii="Abadi" w:hAnsi="Abadi"/>
          <w:sz w:val="24"/>
          <w:szCs w:val="24"/>
        </w:rPr>
        <w:t xml:space="preserve">El documento publicado en su formado pdf tiene 41 páginas lo que evidencia </w:t>
      </w:r>
      <w:r w:rsidR="00DA6033">
        <w:rPr>
          <w:rFonts w:ascii="Abadi" w:hAnsi="Abadi"/>
          <w:sz w:val="24"/>
          <w:szCs w:val="24"/>
        </w:rPr>
        <w:t xml:space="preserve">que no cumple con los principios </w:t>
      </w:r>
      <w:r w:rsidR="00706127">
        <w:rPr>
          <w:rFonts w:ascii="Abadi" w:hAnsi="Abadi"/>
          <w:sz w:val="24"/>
          <w:szCs w:val="24"/>
        </w:rPr>
        <w:t xml:space="preserve">de simplicidad e inteligencia que se recomienda en la </w:t>
      </w:r>
      <w:r w:rsidR="00706127">
        <w:rPr>
          <w:rFonts w:ascii="Abadi" w:hAnsi="Abadi"/>
          <w:sz w:val="24"/>
          <w:szCs w:val="24"/>
        </w:rPr>
        <w:lastRenderedPageBreak/>
        <w:t xml:space="preserve">redacción de resoluciones judiciales. </w:t>
      </w:r>
      <w:r w:rsidR="001E57DA">
        <w:rPr>
          <w:rFonts w:ascii="Abadi" w:hAnsi="Abadi"/>
          <w:sz w:val="24"/>
          <w:szCs w:val="24"/>
        </w:rPr>
        <w:t xml:space="preserve">Para fundamentar el acuerdo </w:t>
      </w:r>
      <w:r w:rsidR="0035014D">
        <w:rPr>
          <w:rFonts w:ascii="Abadi" w:hAnsi="Abadi"/>
          <w:sz w:val="24"/>
          <w:szCs w:val="24"/>
        </w:rPr>
        <w:t>se</w:t>
      </w:r>
      <w:r w:rsidR="00706127">
        <w:rPr>
          <w:rFonts w:ascii="Abadi" w:hAnsi="Abadi"/>
          <w:sz w:val="24"/>
          <w:szCs w:val="24"/>
        </w:rPr>
        <w:t xml:space="preserve"> cita</w:t>
      </w:r>
      <w:r w:rsidR="0035014D">
        <w:rPr>
          <w:rFonts w:ascii="Abadi" w:hAnsi="Abadi"/>
          <w:sz w:val="24"/>
          <w:szCs w:val="24"/>
        </w:rPr>
        <w:t>n</w:t>
      </w:r>
      <w:r w:rsidR="00706127">
        <w:rPr>
          <w:rFonts w:ascii="Abadi" w:hAnsi="Abadi"/>
          <w:sz w:val="24"/>
          <w:szCs w:val="24"/>
        </w:rPr>
        <w:t xml:space="preserve"> </w:t>
      </w:r>
      <w:r w:rsidR="0035014D">
        <w:rPr>
          <w:rFonts w:ascii="Abadi" w:hAnsi="Abadi"/>
          <w:sz w:val="24"/>
          <w:szCs w:val="24"/>
        </w:rPr>
        <w:t xml:space="preserve">numerosas </w:t>
      </w:r>
      <w:r w:rsidR="00706127">
        <w:rPr>
          <w:rFonts w:ascii="Abadi" w:hAnsi="Abadi"/>
          <w:sz w:val="24"/>
          <w:szCs w:val="24"/>
        </w:rPr>
        <w:t>resoluciones anteriores</w:t>
      </w:r>
      <w:r w:rsidR="0070713A">
        <w:rPr>
          <w:rFonts w:ascii="Abadi" w:hAnsi="Abadi"/>
          <w:sz w:val="24"/>
          <w:szCs w:val="24"/>
        </w:rPr>
        <w:t xml:space="preserve"> </w:t>
      </w:r>
      <w:r w:rsidR="0035014D">
        <w:rPr>
          <w:rFonts w:ascii="Abadi" w:hAnsi="Abadi"/>
          <w:sz w:val="24"/>
          <w:szCs w:val="24"/>
        </w:rPr>
        <w:t>con</w:t>
      </w:r>
      <w:r w:rsidR="00AF67F8">
        <w:rPr>
          <w:rFonts w:ascii="Abadi" w:hAnsi="Abadi"/>
          <w:sz w:val="24"/>
          <w:szCs w:val="24"/>
        </w:rPr>
        <w:t xml:space="preserve"> reproducción </w:t>
      </w:r>
      <w:r w:rsidR="0035014D">
        <w:rPr>
          <w:rFonts w:ascii="Abadi" w:hAnsi="Abadi"/>
          <w:sz w:val="24"/>
          <w:szCs w:val="24"/>
        </w:rPr>
        <w:t xml:space="preserve">íntegra </w:t>
      </w:r>
      <w:r w:rsidR="00AF67F8">
        <w:rPr>
          <w:rFonts w:ascii="Abadi" w:hAnsi="Abadi"/>
          <w:sz w:val="24"/>
          <w:szCs w:val="24"/>
        </w:rPr>
        <w:t xml:space="preserve">de párrafos </w:t>
      </w:r>
      <w:r w:rsidR="0035014D">
        <w:rPr>
          <w:rFonts w:ascii="Abadi" w:hAnsi="Abadi"/>
          <w:sz w:val="24"/>
          <w:szCs w:val="24"/>
        </w:rPr>
        <w:t xml:space="preserve">de contenido similar </w:t>
      </w:r>
      <w:r w:rsidR="00637924">
        <w:rPr>
          <w:rFonts w:ascii="Abadi" w:hAnsi="Abadi"/>
          <w:sz w:val="24"/>
          <w:szCs w:val="24"/>
        </w:rPr>
        <w:t xml:space="preserve">sin que haya una motivación del tribunal que </w:t>
      </w:r>
      <w:r w:rsidR="0057100D">
        <w:rPr>
          <w:rFonts w:ascii="Abadi" w:hAnsi="Abadi"/>
          <w:sz w:val="24"/>
          <w:szCs w:val="24"/>
        </w:rPr>
        <w:t xml:space="preserve">enlace, </w:t>
      </w:r>
      <w:r w:rsidR="00637924">
        <w:rPr>
          <w:rFonts w:ascii="Abadi" w:hAnsi="Abadi"/>
          <w:sz w:val="24"/>
          <w:szCs w:val="24"/>
        </w:rPr>
        <w:t xml:space="preserve">interprete y analice esa abultada </w:t>
      </w:r>
      <w:r w:rsidR="007964B1">
        <w:rPr>
          <w:rFonts w:ascii="Abadi" w:hAnsi="Abadi"/>
          <w:sz w:val="24"/>
          <w:szCs w:val="24"/>
        </w:rPr>
        <w:t xml:space="preserve">(e innecesaria por redundante) </w:t>
      </w:r>
      <w:r w:rsidR="00637924">
        <w:rPr>
          <w:rFonts w:ascii="Abadi" w:hAnsi="Abadi"/>
          <w:sz w:val="24"/>
          <w:szCs w:val="24"/>
        </w:rPr>
        <w:t>reproducción de textos. L</w:t>
      </w:r>
      <w:r w:rsidR="000D5486">
        <w:rPr>
          <w:rFonts w:ascii="Abadi" w:hAnsi="Abadi"/>
          <w:sz w:val="24"/>
          <w:szCs w:val="24"/>
        </w:rPr>
        <w:t xml:space="preserve">a lectura íntegra del </w:t>
      </w:r>
      <w:r w:rsidR="002C09E5">
        <w:rPr>
          <w:rFonts w:ascii="Abadi" w:hAnsi="Abadi"/>
          <w:sz w:val="24"/>
          <w:szCs w:val="24"/>
        </w:rPr>
        <w:t>acuerdo</w:t>
      </w:r>
      <w:r w:rsidR="000D5486">
        <w:rPr>
          <w:rFonts w:ascii="Abadi" w:hAnsi="Abadi"/>
          <w:sz w:val="24"/>
          <w:szCs w:val="24"/>
        </w:rPr>
        <w:t xml:space="preserve"> </w:t>
      </w:r>
      <w:r w:rsidR="00637924">
        <w:rPr>
          <w:rFonts w:ascii="Abadi" w:hAnsi="Abadi"/>
          <w:sz w:val="24"/>
          <w:szCs w:val="24"/>
        </w:rPr>
        <w:t>es</w:t>
      </w:r>
      <w:r w:rsidR="000D5486">
        <w:rPr>
          <w:rFonts w:ascii="Abadi" w:hAnsi="Abadi"/>
          <w:sz w:val="24"/>
          <w:szCs w:val="24"/>
        </w:rPr>
        <w:t xml:space="preserve"> un reto</w:t>
      </w:r>
      <w:r w:rsidR="00637924">
        <w:rPr>
          <w:rFonts w:ascii="Abadi" w:hAnsi="Abadi"/>
          <w:sz w:val="24"/>
          <w:szCs w:val="24"/>
        </w:rPr>
        <w:t xml:space="preserve"> no </w:t>
      </w:r>
      <w:r w:rsidR="000112F5">
        <w:rPr>
          <w:rFonts w:ascii="Abadi" w:hAnsi="Abadi"/>
          <w:sz w:val="24"/>
          <w:szCs w:val="24"/>
        </w:rPr>
        <w:t>viable para cualquiera</w:t>
      </w:r>
      <w:r w:rsidR="000D5486">
        <w:rPr>
          <w:rFonts w:ascii="Abadi" w:hAnsi="Abadi"/>
          <w:sz w:val="24"/>
          <w:szCs w:val="24"/>
        </w:rPr>
        <w:t>.</w:t>
      </w:r>
    </w:p>
    <w:p w14:paraId="056EBA9A" w14:textId="2234AFE8" w:rsidR="00D12A16" w:rsidRDefault="000D5486" w:rsidP="006F28A2">
      <w:pPr>
        <w:jc w:val="both"/>
        <w:rPr>
          <w:rFonts w:ascii="Abadi" w:hAnsi="Abadi"/>
          <w:sz w:val="24"/>
          <w:szCs w:val="24"/>
        </w:rPr>
      </w:pPr>
      <w:r>
        <w:rPr>
          <w:rFonts w:ascii="Abadi" w:hAnsi="Abadi"/>
          <w:sz w:val="24"/>
          <w:szCs w:val="24"/>
        </w:rPr>
        <w:t xml:space="preserve">En todo caso, el acuerdo </w:t>
      </w:r>
      <w:r w:rsidR="00BD0D26">
        <w:rPr>
          <w:rFonts w:ascii="Abadi" w:hAnsi="Abadi"/>
          <w:sz w:val="24"/>
          <w:szCs w:val="24"/>
        </w:rPr>
        <w:t xml:space="preserve">confirma la doctrina del TACPA que creo resume la </w:t>
      </w:r>
      <w:r w:rsidR="0057100D">
        <w:rPr>
          <w:rFonts w:ascii="Abadi" w:hAnsi="Abadi"/>
          <w:sz w:val="24"/>
          <w:szCs w:val="24"/>
        </w:rPr>
        <w:t xml:space="preserve">de </w:t>
      </w:r>
      <w:r w:rsidR="00BD0D26">
        <w:rPr>
          <w:rFonts w:ascii="Abadi" w:hAnsi="Abadi"/>
          <w:sz w:val="24"/>
          <w:szCs w:val="24"/>
        </w:rPr>
        <w:t>los tribunales de recursos:</w:t>
      </w:r>
      <w:r w:rsidR="00722776">
        <w:rPr>
          <w:rFonts w:ascii="Abadi" w:hAnsi="Abadi"/>
          <w:sz w:val="24"/>
          <w:szCs w:val="24"/>
        </w:rPr>
        <w:t xml:space="preserve"> “</w:t>
      </w:r>
      <w:r w:rsidR="00722776" w:rsidRPr="00722776">
        <w:rPr>
          <w:rFonts w:ascii="Abadi" w:hAnsi="Abadi"/>
          <w:sz w:val="24"/>
          <w:szCs w:val="24"/>
        </w:rPr>
        <w:t>la falta de límite en las mejoras es contraria a la Ley, al conculcar los principios de igualdad de trato, libre concurrencia y de transparencia (artículos 1 y 132 de la LCSP) impidiendo, como se ha expuesto, la selección de la mejor oferta a partir de la relación calidad-precio, tal y como establece el artículo 145.1 de la LCSP; por lo que procede declarar su nulidad y, con ella, la de los propios pliegos objeto del presente recurso y del mismo procedimiento de contratación, puesto que- como anteriormente se ha indicado - la anulación de un criterio de adjudicación conlleva la de la propia licitación, de acuerdo con la jurisprudencia del Tribunal de Justicia de la Unión Europea y la doctrina consolidada de los tribunales administrativos de recursos contractuales (y la LCSP), ordenando la retroacción de actuaciones para que, en caso de que el órgano de contratación estime oportuno convocar nueva licitación, proceda a la aprobación de nuevos pliegos y a la apertura de nuevo plazo al objeto de que los licitadores presenten sus proposiciones</w:t>
      </w:r>
      <w:r w:rsidR="00722776">
        <w:rPr>
          <w:rFonts w:ascii="Abadi" w:hAnsi="Abadi"/>
          <w:sz w:val="24"/>
          <w:szCs w:val="24"/>
        </w:rPr>
        <w:t>”.</w:t>
      </w:r>
    </w:p>
    <w:p w14:paraId="63E6F542" w14:textId="65790F05" w:rsidR="00FC05FA" w:rsidRDefault="0017102A" w:rsidP="006F28A2">
      <w:pPr>
        <w:jc w:val="both"/>
        <w:rPr>
          <w:rFonts w:ascii="Abadi" w:hAnsi="Abadi"/>
          <w:sz w:val="24"/>
          <w:szCs w:val="24"/>
        </w:rPr>
      </w:pPr>
      <w:r>
        <w:rPr>
          <w:rFonts w:ascii="Abadi" w:hAnsi="Abadi"/>
          <w:sz w:val="24"/>
          <w:szCs w:val="24"/>
        </w:rPr>
        <w:t>No parece idéntica la cuestión de indicar un límite máximo en las ofertas de horas</w:t>
      </w:r>
      <w:r w:rsidR="00C70E7A">
        <w:rPr>
          <w:rFonts w:ascii="Abadi" w:hAnsi="Abadi"/>
          <w:sz w:val="24"/>
          <w:szCs w:val="24"/>
        </w:rPr>
        <w:t xml:space="preserve"> adicionales en la prestación</w:t>
      </w:r>
      <w:r w:rsidR="007964B1">
        <w:rPr>
          <w:rFonts w:ascii="Abadi" w:hAnsi="Abadi"/>
          <w:sz w:val="24"/>
          <w:szCs w:val="24"/>
        </w:rPr>
        <w:t>,</w:t>
      </w:r>
      <w:r w:rsidR="00C70E7A">
        <w:rPr>
          <w:rFonts w:ascii="Abadi" w:hAnsi="Abadi"/>
          <w:sz w:val="24"/>
          <w:szCs w:val="24"/>
        </w:rPr>
        <w:t xml:space="preserve"> a</w:t>
      </w:r>
      <w:r w:rsidR="00F723BF">
        <w:rPr>
          <w:rFonts w:ascii="Abadi" w:hAnsi="Abadi"/>
          <w:sz w:val="24"/>
          <w:szCs w:val="24"/>
        </w:rPr>
        <w:t>l establecimiento de lo que ha venido en denominarse criterio de saciedad o tope en la oferta de precio.</w:t>
      </w:r>
      <w:r w:rsidR="000513F5">
        <w:rPr>
          <w:rFonts w:ascii="Abadi" w:hAnsi="Abadi"/>
          <w:sz w:val="24"/>
          <w:szCs w:val="24"/>
        </w:rPr>
        <w:t xml:space="preserve"> Limitar la oferta máxima de horas adicionales</w:t>
      </w:r>
      <w:r w:rsidR="009155AC">
        <w:rPr>
          <w:rFonts w:ascii="Abadi" w:hAnsi="Abadi"/>
          <w:sz w:val="24"/>
          <w:szCs w:val="24"/>
        </w:rPr>
        <w:t xml:space="preserve"> conecta directamente con el cumplimiento de las obligaciones laborales exigible a la empresa contratista</w:t>
      </w:r>
      <w:r w:rsidR="00126A56">
        <w:rPr>
          <w:rFonts w:ascii="Abadi" w:hAnsi="Abadi"/>
          <w:sz w:val="24"/>
          <w:szCs w:val="24"/>
        </w:rPr>
        <w:t xml:space="preserve"> y, por tanto, se exige una vigilancia complementaria por parte del órgano de contratación que no puede dejar al albur de la irresponsabilidad o </w:t>
      </w:r>
      <w:r w:rsidR="00C12DCA">
        <w:rPr>
          <w:rFonts w:ascii="Abadi" w:hAnsi="Abadi"/>
          <w:sz w:val="24"/>
          <w:szCs w:val="24"/>
        </w:rPr>
        <w:t xml:space="preserve">negligencia de las empresas licitadoras ávidas de obtener puntuación el eventual incumplimiento de las </w:t>
      </w:r>
      <w:r w:rsidR="00FC05FA">
        <w:rPr>
          <w:rFonts w:ascii="Abadi" w:hAnsi="Abadi"/>
          <w:sz w:val="24"/>
          <w:szCs w:val="24"/>
        </w:rPr>
        <w:t>obligaciones</w:t>
      </w:r>
      <w:r w:rsidR="00C12DCA">
        <w:rPr>
          <w:rFonts w:ascii="Abadi" w:hAnsi="Abadi"/>
          <w:sz w:val="24"/>
          <w:szCs w:val="24"/>
        </w:rPr>
        <w:t xml:space="preserve"> salariales de los convenios</w:t>
      </w:r>
      <w:r w:rsidR="00BC448C">
        <w:rPr>
          <w:rFonts w:ascii="Abadi" w:hAnsi="Abadi"/>
          <w:sz w:val="24"/>
          <w:szCs w:val="24"/>
        </w:rPr>
        <w:t xml:space="preserve"> (art. 201 LCSP)</w:t>
      </w:r>
      <w:r w:rsidR="00FC05FA">
        <w:rPr>
          <w:rFonts w:ascii="Abadi" w:hAnsi="Abadi"/>
          <w:sz w:val="24"/>
          <w:szCs w:val="24"/>
        </w:rPr>
        <w:t>.</w:t>
      </w:r>
    </w:p>
    <w:p w14:paraId="5FEB5219" w14:textId="422490FD" w:rsidR="009504F8" w:rsidRPr="0043678D" w:rsidRDefault="00FC05FA" w:rsidP="006F28A2">
      <w:pPr>
        <w:jc w:val="both"/>
        <w:rPr>
          <w:rFonts w:ascii="Abadi" w:hAnsi="Abadi"/>
          <w:sz w:val="24"/>
          <w:szCs w:val="24"/>
        </w:rPr>
      </w:pPr>
      <w:r>
        <w:rPr>
          <w:rFonts w:ascii="Abadi" w:hAnsi="Abadi"/>
          <w:sz w:val="24"/>
          <w:szCs w:val="24"/>
        </w:rPr>
        <w:t>Debe recordarse una vez más que el art. 100 LCSP</w:t>
      </w:r>
      <w:r w:rsidR="00DD5CBD">
        <w:rPr>
          <w:rFonts w:ascii="Abadi" w:hAnsi="Abadi"/>
          <w:sz w:val="24"/>
          <w:szCs w:val="24"/>
        </w:rPr>
        <w:t>: “</w:t>
      </w:r>
      <w:r w:rsidR="00DD5CBD" w:rsidRPr="00DD5CBD">
        <w:rPr>
          <w:rFonts w:ascii="Abadi" w:hAnsi="Abadi"/>
          <w:sz w:val="24"/>
          <w:szCs w:val="24"/>
        </w:rPr>
        <w:t xml:space="preserve">En los contratos en que </w:t>
      </w:r>
      <w:proofErr w:type="gramStart"/>
      <w:r w:rsidR="00DD5CBD" w:rsidRPr="00DD5CBD">
        <w:rPr>
          <w:rFonts w:ascii="Abadi" w:hAnsi="Abadi"/>
          <w:sz w:val="24"/>
          <w:szCs w:val="24"/>
        </w:rPr>
        <w:t>el coste de los salarios de las personas empleadas para su ejecución formen</w:t>
      </w:r>
      <w:proofErr w:type="gramEnd"/>
      <w:r w:rsidR="00DD5CBD" w:rsidRPr="00DD5CBD">
        <w:rPr>
          <w:rFonts w:ascii="Abadi" w:hAnsi="Abadi"/>
          <w:sz w:val="24"/>
          <w:szCs w:val="24"/>
        </w:rPr>
        <w:t xml:space="preserve"> parte del precio total del contrato, el presupuesto base de licitación indicará de forma desglosada y con desagregación de género y categoría profesional los costes salariales estimados a partir del convenio laboral de referencia.</w:t>
      </w:r>
      <w:r w:rsidR="00DD5CBD">
        <w:rPr>
          <w:rFonts w:ascii="Abadi" w:hAnsi="Abadi"/>
          <w:sz w:val="24"/>
          <w:szCs w:val="24"/>
        </w:rPr>
        <w:t>”</w:t>
      </w:r>
    </w:p>
    <w:p w14:paraId="7DB9D2D4" w14:textId="13B2FB19" w:rsidR="001757E7" w:rsidRPr="0043678D" w:rsidRDefault="001757E7" w:rsidP="0095555C">
      <w:pPr>
        <w:pStyle w:val="Pargrafdellista"/>
        <w:numPr>
          <w:ilvl w:val="0"/>
          <w:numId w:val="2"/>
        </w:numPr>
        <w:jc w:val="both"/>
        <w:rPr>
          <w:rFonts w:ascii="Abadi" w:hAnsi="Abadi"/>
          <w:sz w:val="24"/>
          <w:szCs w:val="24"/>
        </w:rPr>
      </w:pPr>
      <w:r w:rsidRPr="0043678D">
        <w:rPr>
          <w:rFonts w:ascii="Abadi" w:hAnsi="Abadi"/>
          <w:sz w:val="24"/>
          <w:szCs w:val="24"/>
        </w:rPr>
        <w:t xml:space="preserve">Cálculo de los costes de horas </w:t>
      </w:r>
      <w:r w:rsidR="006F28A2" w:rsidRPr="0043678D">
        <w:rPr>
          <w:rFonts w:ascii="Abadi" w:hAnsi="Abadi"/>
          <w:sz w:val="24"/>
          <w:szCs w:val="24"/>
        </w:rPr>
        <w:t xml:space="preserve">adicionales </w:t>
      </w:r>
    </w:p>
    <w:p w14:paraId="78D3FFDC" w14:textId="5D2B1A78" w:rsidR="001B7FE9" w:rsidRDefault="00B967CA" w:rsidP="001B7FE9">
      <w:pPr>
        <w:jc w:val="both"/>
        <w:rPr>
          <w:rFonts w:ascii="Abadi" w:hAnsi="Abadi"/>
          <w:sz w:val="24"/>
          <w:szCs w:val="24"/>
        </w:rPr>
      </w:pPr>
      <w:r>
        <w:rPr>
          <w:rFonts w:ascii="Abadi" w:hAnsi="Abadi"/>
          <w:sz w:val="24"/>
          <w:szCs w:val="24"/>
        </w:rPr>
        <w:t xml:space="preserve">Merece una reflexión </w:t>
      </w:r>
      <w:r w:rsidR="008348AA">
        <w:rPr>
          <w:rFonts w:ascii="Abadi" w:hAnsi="Abadi"/>
          <w:sz w:val="24"/>
          <w:szCs w:val="24"/>
        </w:rPr>
        <w:t>si debe reflejarse</w:t>
      </w:r>
      <w:r>
        <w:rPr>
          <w:rFonts w:ascii="Abadi" w:hAnsi="Abadi"/>
          <w:sz w:val="24"/>
          <w:szCs w:val="24"/>
        </w:rPr>
        <w:t xml:space="preserve"> el impacto económico de las mejoras</w:t>
      </w:r>
      <w:r w:rsidR="00E01A19">
        <w:rPr>
          <w:rFonts w:ascii="Abadi" w:hAnsi="Abadi"/>
          <w:sz w:val="24"/>
          <w:szCs w:val="24"/>
        </w:rPr>
        <w:t xml:space="preserve">: </w:t>
      </w:r>
      <w:r>
        <w:rPr>
          <w:rFonts w:ascii="Abadi" w:hAnsi="Abadi"/>
          <w:sz w:val="24"/>
          <w:szCs w:val="24"/>
        </w:rPr>
        <w:t>¿el presupuesto base de licitación</w:t>
      </w:r>
      <w:r w:rsidR="008D4A5B">
        <w:rPr>
          <w:rFonts w:ascii="Abadi" w:hAnsi="Abadi"/>
          <w:sz w:val="24"/>
          <w:szCs w:val="24"/>
        </w:rPr>
        <w:t xml:space="preserve"> (PBL)</w:t>
      </w:r>
      <w:r w:rsidR="008656CD">
        <w:rPr>
          <w:rFonts w:ascii="Abadi" w:hAnsi="Abadi"/>
          <w:sz w:val="24"/>
          <w:szCs w:val="24"/>
        </w:rPr>
        <w:t xml:space="preserve"> y/o el valor estimado del contrato </w:t>
      </w:r>
      <w:r w:rsidR="008D4A5B">
        <w:rPr>
          <w:rFonts w:ascii="Abadi" w:hAnsi="Abadi"/>
          <w:sz w:val="24"/>
          <w:szCs w:val="24"/>
        </w:rPr>
        <w:t xml:space="preserve">(VEC) </w:t>
      </w:r>
      <w:r w:rsidR="008656CD">
        <w:rPr>
          <w:rFonts w:ascii="Abadi" w:hAnsi="Abadi"/>
          <w:sz w:val="24"/>
          <w:szCs w:val="24"/>
        </w:rPr>
        <w:t>deben contemplar e incluir en sus valores el coste máximo de las mejoras previstas</w:t>
      </w:r>
      <w:r w:rsidR="00761C76">
        <w:rPr>
          <w:rFonts w:ascii="Abadi" w:hAnsi="Abadi"/>
          <w:sz w:val="24"/>
          <w:szCs w:val="24"/>
        </w:rPr>
        <w:t>, o</w:t>
      </w:r>
      <w:r w:rsidR="008D4A5B">
        <w:rPr>
          <w:rFonts w:ascii="Abadi" w:hAnsi="Abadi"/>
          <w:sz w:val="24"/>
          <w:szCs w:val="24"/>
        </w:rPr>
        <w:t>,</w:t>
      </w:r>
      <w:r w:rsidR="00761C76">
        <w:rPr>
          <w:rFonts w:ascii="Abadi" w:hAnsi="Abadi"/>
          <w:sz w:val="24"/>
          <w:szCs w:val="24"/>
        </w:rPr>
        <w:t xml:space="preserve"> siendo éstas inciertas en cuanto a si llegarán </w:t>
      </w:r>
      <w:r w:rsidR="008D4A5B">
        <w:rPr>
          <w:rFonts w:ascii="Abadi" w:hAnsi="Abadi"/>
          <w:sz w:val="24"/>
          <w:szCs w:val="24"/>
        </w:rPr>
        <w:t xml:space="preserve">o no </w:t>
      </w:r>
      <w:r w:rsidR="00761C76">
        <w:rPr>
          <w:rFonts w:ascii="Abadi" w:hAnsi="Abadi"/>
          <w:sz w:val="24"/>
          <w:szCs w:val="24"/>
        </w:rPr>
        <w:t xml:space="preserve">a </w:t>
      </w:r>
      <w:r w:rsidR="00A768F8">
        <w:rPr>
          <w:rFonts w:ascii="Abadi" w:hAnsi="Abadi"/>
          <w:sz w:val="24"/>
          <w:szCs w:val="24"/>
        </w:rPr>
        <w:t>realizar</w:t>
      </w:r>
      <w:r w:rsidR="00761C76">
        <w:rPr>
          <w:rFonts w:ascii="Abadi" w:hAnsi="Abadi"/>
          <w:sz w:val="24"/>
          <w:szCs w:val="24"/>
        </w:rPr>
        <w:t xml:space="preserve">se, no tienen por qué ser </w:t>
      </w:r>
      <w:r w:rsidR="00E969CC">
        <w:rPr>
          <w:rFonts w:ascii="Abadi" w:hAnsi="Abadi"/>
          <w:sz w:val="24"/>
          <w:szCs w:val="24"/>
        </w:rPr>
        <w:t>incluidas?</w:t>
      </w:r>
      <w:r w:rsidR="00761C76">
        <w:rPr>
          <w:rFonts w:ascii="Abadi" w:hAnsi="Abadi"/>
          <w:sz w:val="24"/>
          <w:szCs w:val="24"/>
        </w:rPr>
        <w:t xml:space="preserve"> </w:t>
      </w:r>
      <w:r w:rsidR="00E969CC">
        <w:rPr>
          <w:rFonts w:ascii="Abadi" w:hAnsi="Abadi"/>
          <w:sz w:val="24"/>
          <w:szCs w:val="24"/>
        </w:rPr>
        <w:t>¿</w:t>
      </w:r>
      <w:r w:rsidR="00761C76">
        <w:rPr>
          <w:rFonts w:ascii="Abadi" w:hAnsi="Abadi"/>
          <w:sz w:val="24"/>
          <w:szCs w:val="24"/>
        </w:rPr>
        <w:t>La reserva de crédito adecuado y suficiente deberá incluir</w:t>
      </w:r>
      <w:r w:rsidR="00E969CC">
        <w:rPr>
          <w:rFonts w:ascii="Abadi" w:hAnsi="Abadi"/>
          <w:sz w:val="24"/>
          <w:szCs w:val="24"/>
        </w:rPr>
        <w:t xml:space="preserve"> dotación presupuestaria para hacer frente a esos posibles</w:t>
      </w:r>
      <w:r w:rsidR="00E01A19" w:rsidRPr="00E01A19">
        <w:rPr>
          <w:rFonts w:ascii="Abadi" w:hAnsi="Abadi"/>
          <w:sz w:val="24"/>
          <w:szCs w:val="24"/>
        </w:rPr>
        <w:t xml:space="preserve"> </w:t>
      </w:r>
      <w:r w:rsidR="00E01A19">
        <w:rPr>
          <w:rFonts w:ascii="Abadi" w:hAnsi="Abadi"/>
          <w:sz w:val="24"/>
          <w:szCs w:val="24"/>
        </w:rPr>
        <w:t>pagos</w:t>
      </w:r>
      <w:r w:rsidR="00E969CC">
        <w:rPr>
          <w:rFonts w:ascii="Abadi" w:hAnsi="Abadi"/>
          <w:sz w:val="24"/>
          <w:szCs w:val="24"/>
        </w:rPr>
        <w:t>?</w:t>
      </w:r>
    </w:p>
    <w:p w14:paraId="26D87138" w14:textId="3EC7B4B0" w:rsidR="00A768F8" w:rsidRDefault="00A768F8" w:rsidP="001B7FE9">
      <w:pPr>
        <w:jc w:val="both"/>
        <w:rPr>
          <w:rFonts w:ascii="Abadi" w:hAnsi="Abadi"/>
          <w:sz w:val="24"/>
          <w:szCs w:val="24"/>
        </w:rPr>
      </w:pPr>
      <w:r>
        <w:rPr>
          <w:rFonts w:ascii="Abadi" w:hAnsi="Abadi"/>
          <w:sz w:val="24"/>
          <w:szCs w:val="24"/>
        </w:rPr>
        <w:t>A mi parecer, cuando el pliego de cláusulas administrativas establece que se valorar</w:t>
      </w:r>
      <w:r w:rsidR="00E1262F">
        <w:rPr>
          <w:rFonts w:ascii="Abadi" w:hAnsi="Abadi"/>
          <w:sz w:val="24"/>
          <w:szCs w:val="24"/>
        </w:rPr>
        <w:t>á</w:t>
      </w:r>
      <w:r>
        <w:rPr>
          <w:rFonts w:ascii="Abadi" w:hAnsi="Abadi"/>
          <w:sz w:val="24"/>
          <w:szCs w:val="24"/>
        </w:rPr>
        <w:t xml:space="preserve"> la oferta de mejoras </w:t>
      </w:r>
      <w:r w:rsidR="00BB4193">
        <w:rPr>
          <w:rFonts w:ascii="Abadi" w:hAnsi="Abadi"/>
          <w:sz w:val="24"/>
          <w:szCs w:val="24"/>
        </w:rPr>
        <w:t xml:space="preserve">y se detallan </w:t>
      </w:r>
      <w:r w:rsidR="009E4065">
        <w:rPr>
          <w:rFonts w:ascii="Abadi" w:hAnsi="Abadi"/>
          <w:sz w:val="24"/>
          <w:szCs w:val="24"/>
        </w:rPr>
        <w:t xml:space="preserve">las características </w:t>
      </w:r>
      <w:r w:rsidR="000D26D9">
        <w:rPr>
          <w:rFonts w:ascii="Abadi" w:hAnsi="Abadi"/>
          <w:sz w:val="24"/>
          <w:szCs w:val="24"/>
        </w:rPr>
        <w:t xml:space="preserve">funcionales </w:t>
      </w:r>
      <w:r w:rsidR="009E4065">
        <w:rPr>
          <w:rFonts w:ascii="Abadi" w:hAnsi="Abadi"/>
          <w:sz w:val="24"/>
          <w:szCs w:val="24"/>
        </w:rPr>
        <w:t xml:space="preserve">de las mismas (art. 145.7 LCSP) pero no es posible </w:t>
      </w:r>
      <w:r w:rsidR="001E0882">
        <w:rPr>
          <w:rFonts w:ascii="Abadi" w:hAnsi="Abadi"/>
          <w:sz w:val="24"/>
          <w:szCs w:val="24"/>
        </w:rPr>
        <w:t xml:space="preserve">conocer </w:t>
      </w:r>
      <w:r w:rsidR="00842AAE">
        <w:rPr>
          <w:rFonts w:ascii="Abadi" w:hAnsi="Abadi"/>
          <w:sz w:val="24"/>
          <w:szCs w:val="24"/>
        </w:rPr>
        <w:t>cuáles</w:t>
      </w:r>
      <w:r w:rsidR="001E0882">
        <w:rPr>
          <w:rFonts w:ascii="Abadi" w:hAnsi="Abadi"/>
          <w:sz w:val="24"/>
          <w:szCs w:val="24"/>
        </w:rPr>
        <w:t xml:space="preserve"> serán </w:t>
      </w:r>
      <w:r w:rsidR="00247B7D">
        <w:rPr>
          <w:rFonts w:ascii="Abadi" w:hAnsi="Abadi"/>
          <w:sz w:val="24"/>
          <w:szCs w:val="24"/>
        </w:rPr>
        <w:t xml:space="preserve">éstas </w:t>
      </w:r>
      <w:r w:rsidR="00247B7D">
        <w:rPr>
          <w:rFonts w:ascii="Abadi" w:hAnsi="Abadi"/>
          <w:sz w:val="24"/>
          <w:szCs w:val="24"/>
        </w:rPr>
        <w:lastRenderedPageBreak/>
        <w:t xml:space="preserve">concretamente </w:t>
      </w:r>
      <w:r w:rsidR="001E0882">
        <w:rPr>
          <w:rFonts w:ascii="Abadi" w:hAnsi="Abadi"/>
          <w:sz w:val="24"/>
          <w:szCs w:val="24"/>
        </w:rPr>
        <w:t>con detalle no parece razonable que el PBL pueda incluir</w:t>
      </w:r>
      <w:r w:rsidR="00842AAE">
        <w:rPr>
          <w:rFonts w:ascii="Abadi" w:hAnsi="Abadi"/>
          <w:sz w:val="24"/>
          <w:szCs w:val="24"/>
        </w:rPr>
        <w:t xml:space="preserve"> el coste</w:t>
      </w:r>
      <w:r w:rsidR="0014076D">
        <w:rPr>
          <w:rFonts w:ascii="Abadi" w:hAnsi="Abadi"/>
          <w:sz w:val="24"/>
          <w:szCs w:val="24"/>
        </w:rPr>
        <w:t xml:space="preserve"> concreto</w:t>
      </w:r>
      <w:r w:rsidR="00842AAE">
        <w:rPr>
          <w:rFonts w:ascii="Abadi" w:hAnsi="Abadi"/>
          <w:sz w:val="24"/>
          <w:szCs w:val="24"/>
        </w:rPr>
        <w:t xml:space="preserve"> de esas mejoras de forma que </w:t>
      </w:r>
      <w:r w:rsidR="00225B0A">
        <w:rPr>
          <w:rFonts w:ascii="Abadi" w:hAnsi="Abadi"/>
          <w:sz w:val="24"/>
          <w:szCs w:val="24"/>
        </w:rPr>
        <w:t xml:space="preserve">el PBL de la licitación será para </w:t>
      </w:r>
      <w:r w:rsidR="00842AAE">
        <w:rPr>
          <w:rFonts w:ascii="Abadi" w:hAnsi="Abadi"/>
          <w:sz w:val="24"/>
          <w:szCs w:val="24"/>
        </w:rPr>
        <w:t xml:space="preserve">la empresa licitadora </w:t>
      </w:r>
      <w:r w:rsidR="00225B0A">
        <w:rPr>
          <w:rFonts w:ascii="Abadi" w:hAnsi="Abadi"/>
          <w:sz w:val="24"/>
          <w:szCs w:val="24"/>
        </w:rPr>
        <w:t xml:space="preserve">el tope máximo </w:t>
      </w:r>
      <w:r w:rsidR="00126D54">
        <w:rPr>
          <w:rFonts w:ascii="Abadi" w:hAnsi="Abadi"/>
          <w:sz w:val="24"/>
          <w:szCs w:val="24"/>
        </w:rPr>
        <w:t xml:space="preserve">que podrá percibir </w:t>
      </w:r>
      <w:r w:rsidR="0014076D">
        <w:rPr>
          <w:rFonts w:ascii="Abadi" w:hAnsi="Abadi"/>
          <w:sz w:val="24"/>
          <w:szCs w:val="24"/>
        </w:rPr>
        <w:t>por la totalidad</w:t>
      </w:r>
      <w:r w:rsidR="00126D54">
        <w:rPr>
          <w:rFonts w:ascii="Abadi" w:hAnsi="Abadi"/>
          <w:sz w:val="24"/>
          <w:szCs w:val="24"/>
        </w:rPr>
        <w:t xml:space="preserve"> </w:t>
      </w:r>
      <w:r w:rsidR="0014076D">
        <w:rPr>
          <w:rFonts w:ascii="Abadi" w:hAnsi="Abadi"/>
          <w:sz w:val="24"/>
          <w:szCs w:val="24"/>
        </w:rPr>
        <w:t>d</w:t>
      </w:r>
      <w:r w:rsidR="00126D54">
        <w:rPr>
          <w:rFonts w:ascii="Abadi" w:hAnsi="Abadi"/>
          <w:sz w:val="24"/>
          <w:szCs w:val="24"/>
        </w:rPr>
        <w:t>el coste de la oferta que proponga.</w:t>
      </w:r>
    </w:p>
    <w:p w14:paraId="3E4D0E0C" w14:textId="13B06B80" w:rsidR="001B628F" w:rsidRDefault="00126D54" w:rsidP="001B7FE9">
      <w:pPr>
        <w:jc w:val="both"/>
        <w:rPr>
          <w:rFonts w:ascii="Abadi" w:hAnsi="Abadi"/>
          <w:sz w:val="24"/>
          <w:szCs w:val="24"/>
        </w:rPr>
      </w:pPr>
      <w:r>
        <w:rPr>
          <w:rFonts w:ascii="Abadi" w:hAnsi="Abadi"/>
          <w:sz w:val="24"/>
          <w:szCs w:val="24"/>
        </w:rPr>
        <w:t>Otro planteamiento merece</w:t>
      </w:r>
      <w:r w:rsidR="00BA760A">
        <w:rPr>
          <w:rFonts w:ascii="Abadi" w:hAnsi="Abadi"/>
          <w:sz w:val="24"/>
          <w:szCs w:val="24"/>
        </w:rPr>
        <w:t xml:space="preserve">, en el supuesto de contratos de servicios </w:t>
      </w:r>
      <w:r w:rsidR="00400E31">
        <w:rPr>
          <w:rFonts w:ascii="Abadi" w:hAnsi="Abadi"/>
          <w:sz w:val="24"/>
          <w:szCs w:val="24"/>
        </w:rPr>
        <w:t xml:space="preserve">de </w:t>
      </w:r>
      <w:r w:rsidR="00BA760A">
        <w:rPr>
          <w:rFonts w:ascii="Abadi" w:hAnsi="Abadi"/>
          <w:sz w:val="24"/>
          <w:szCs w:val="24"/>
        </w:rPr>
        <w:t xml:space="preserve">vigilancia y limpieza y cualquiera otro </w:t>
      </w:r>
      <w:r w:rsidR="00BD7BD8">
        <w:rPr>
          <w:rFonts w:ascii="Abadi" w:hAnsi="Abadi"/>
          <w:sz w:val="24"/>
          <w:szCs w:val="24"/>
        </w:rPr>
        <w:t xml:space="preserve">contrato </w:t>
      </w:r>
      <w:r w:rsidR="00BA760A">
        <w:rPr>
          <w:rFonts w:ascii="Abadi" w:hAnsi="Abadi"/>
          <w:sz w:val="24"/>
          <w:szCs w:val="24"/>
        </w:rPr>
        <w:t>en el que el coste salarial consti</w:t>
      </w:r>
      <w:r w:rsidR="00203E0E">
        <w:rPr>
          <w:rFonts w:ascii="Abadi" w:hAnsi="Abadi"/>
          <w:sz w:val="24"/>
          <w:szCs w:val="24"/>
        </w:rPr>
        <w:t>tuya</w:t>
      </w:r>
      <w:r w:rsidR="00640EE8">
        <w:rPr>
          <w:rFonts w:ascii="Abadi" w:hAnsi="Abadi"/>
          <w:sz w:val="24"/>
          <w:szCs w:val="24"/>
        </w:rPr>
        <w:t xml:space="preserve"> un co</w:t>
      </w:r>
      <w:r w:rsidR="00D8779B">
        <w:rPr>
          <w:rFonts w:ascii="Abadi" w:hAnsi="Abadi"/>
          <w:sz w:val="24"/>
          <w:szCs w:val="24"/>
        </w:rPr>
        <w:t>ste</w:t>
      </w:r>
      <w:r w:rsidR="00640EE8">
        <w:rPr>
          <w:rFonts w:ascii="Abadi" w:hAnsi="Abadi"/>
          <w:sz w:val="24"/>
          <w:szCs w:val="24"/>
        </w:rPr>
        <w:t xml:space="preserve"> definido</w:t>
      </w:r>
      <w:r w:rsidR="0012393B">
        <w:rPr>
          <w:rFonts w:ascii="Abadi" w:hAnsi="Abadi"/>
          <w:sz w:val="24"/>
          <w:szCs w:val="24"/>
        </w:rPr>
        <w:t xml:space="preserve"> por ser un elemento en la ejecución del contrato diferenciado y claro</w:t>
      </w:r>
      <w:r w:rsidR="00203E0E">
        <w:rPr>
          <w:rFonts w:ascii="Abadi" w:hAnsi="Abadi"/>
          <w:sz w:val="24"/>
          <w:szCs w:val="24"/>
        </w:rPr>
        <w:t>,</w:t>
      </w:r>
      <w:r>
        <w:rPr>
          <w:rFonts w:ascii="Abadi" w:hAnsi="Abadi"/>
          <w:sz w:val="24"/>
          <w:szCs w:val="24"/>
        </w:rPr>
        <w:t xml:space="preserve"> la oferta de horas</w:t>
      </w:r>
      <w:r w:rsidR="00EB5DF7">
        <w:rPr>
          <w:rFonts w:ascii="Abadi" w:hAnsi="Abadi"/>
          <w:sz w:val="24"/>
          <w:szCs w:val="24"/>
        </w:rPr>
        <w:t xml:space="preserve"> adicional a la que </w:t>
      </w:r>
      <w:r w:rsidR="00BD7BD8">
        <w:rPr>
          <w:rFonts w:ascii="Abadi" w:hAnsi="Abadi"/>
          <w:sz w:val="24"/>
          <w:szCs w:val="24"/>
        </w:rPr>
        <w:t xml:space="preserve">se </w:t>
      </w:r>
      <w:r w:rsidR="00EB5DF7">
        <w:rPr>
          <w:rFonts w:ascii="Abadi" w:hAnsi="Abadi"/>
          <w:sz w:val="24"/>
          <w:szCs w:val="24"/>
        </w:rPr>
        <w:t xml:space="preserve">prescribe como mínimo </w:t>
      </w:r>
      <w:r w:rsidR="00BD7BD8">
        <w:rPr>
          <w:rFonts w:ascii="Abadi" w:hAnsi="Abadi"/>
          <w:sz w:val="24"/>
          <w:szCs w:val="24"/>
        </w:rPr>
        <w:t xml:space="preserve">en </w:t>
      </w:r>
      <w:r w:rsidR="00EB5DF7">
        <w:rPr>
          <w:rFonts w:ascii="Abadi" w:hAnsi="Abadi"/>
          <w:sz w:val="24"/>
          <w:szCs w:val="24"/>
        </w:rPr>
        <w:t>el PPT</w:t>
      </w:r>
      <w:r w:rsidR="001B628F">
        <w:rPr>
          <w:rFonts w:ascii="Abadi" w:hAnsi="Abadi"/>
          <w:sz w:val="24"/>
          <w:szCs w:val="24"/>
        </w:rPr>
        <w:t xml:space="preserve"> deberá ser dimensionada en el PBL y en el VEC</w:t>
      </w:r>
      <w:r w:rsidR="00EB5DF7">
        <w:rPr>
          <w:rFonts w:ascii="Abadi" w:hAnsi="Abadi"/>
          <w:sz w:val="24"/>
          <w:szCs w:val="24"/>
        </w:rPr>
        <w:t xml:space="preserve">. </w:t>
      </w:r>
    </w:p>
    <w:p w14:paraId="3FBED07F" w14:textId="067DB6AD" w:rsidR="0012393B" w:rsidRDefault="00EB3456" w:rsidP="001B7FE9">
      <w:pPr>
        <w:jc w:val="both"/>
        <w:rPr>
          <w:rFonts w:ascii="Abadi" w:hAnsi="Abadi"/>
          <w:sz w:val="24"/>
          <w:szCs w:val="24"/>
        </w:rPr>
      </w:pPr>
      <w:r>
        <w:rPr>
          <w:rFonts w:ascii="Abadi" w:hAnsi="Abadi"/>
          <w:sz w:val="24"/>
          <w:szCs w:val="24"/>
        </w:rPr>
        <w:t>La idea que la oferta adicional de horas sea “sin coste para la Administración”</w:t>
      </w:r>
      <w:r w:rsidR="006B7DFC">
        <w:rPr>
          <w:rFonts w:ascii="Abadi" w:hAnsi="Abadi"/>
          <w:sz w:val="24"/>
          <w:szCs w:val="24"/>
        </w:rPr>
        <w:t xml:space="preserve"> no exime que su coste esté dimensionado en PBL y en VEC.</w:t>
      </w:r>
      <w:r w:rsidR="001B586E">
        <w:rPr>
          <w:rFonts w:ascii="Abadi" w:hAnsi="Abadi"/>
          <w:sz w:val="24"/>
          <w:szCs w:val="24"/>
        </w:rPr>
        <w:t xml:space="preserve"> Por otra parte, la Administració</w:t>
      </w:r>
      <w:r w:rsidR="00F05C64">
        <w:rPr>
          <w:rFonts w:ascii="Abadi" w:hAnsi="Abadi"/>
          <w:sz w:val="24"/>
          <w:szCs w:val="24"/>
        </w:rPr>
        <w:t>n</w:t>
      </w:r>
      <w:r w:rsidR="001B586E">
        <w:rPr>
          <w:rFonts w:ascii="Abadi" w:hAnsi="Abadi"/>
          <w:sz w:val="24"/>
          <w:szCs w:val="24"/>
        </w:rPr>
        <w:t xml:space="preserve"> que crea que al incluir esa mejora sin coste realmente le saldrá gratis</w:t>
      </w:r>
      <w:r w:rsidR="00F05C64">
        <w:rPr>
          <w:rFonts w:ascii="Abadi" w:hAnsi="Abadi"/>
          <w:sz w:val="24"/>
          <w:szCs w:val="24"/>
        </w:rPr>
        <w:t xml:space="preserve"> el pago de determinados servicios cuyo coste fundamental es mano de obra es realmente un planteamiento poco profesional en el marco de la contratación social y ambiental que reclama el art. 1 LCSP.</w:t>
      </w:r>
    </w:p>
    <w:p w14:paraId="1626FF9E" w14:textId="7880458E" w:rsidR="00126D54" w:rsidRPr="0043678D" w:rsidRDefault="00EB5DF7" w:rsidP="00F07CB3">
      <w:pPr>
        <w:jc w:val="both"/>
        <w:rPr>
          <w:rFonts w:ascii="Abadi" w:hAnsi="Abadi"/>
          <w:sz w:val="24"/>
          <w:szCs w:val="24"/>
        </w:rPr>
      </w:pPr>
      <w:r>
        <w:rPr>
          <w:rFonts w:ascii="Abadi" w:hAnsi="Abadi"/>
          <w:sz w:val="24"/>
          <w:szCs w:val="24"/>
        </w:rPr>
        <w:t>Si el órgano de contratación contempla la ampliación</w:t>
      </w:r>
      <w:r w:rsidR="009E4A01">
        <w:rPr>
          <w:rFonts w:ascii="Abadi" w:hAnsi="Abadi"/>
          <w:sz w:val="24"/>
          <w:szCs w:val="24"/>
        </w:rPr>
        <w:t xml:space="preserve"> de prestación de horas como oferta voluntaria con su ponderación correspondiente parece razonable que el PBL y el VEC contemplen</w:t>
      </w:r>
      <w:r w:rsidR="003A4FA3">
        <w:rPr>
          <w:rFonts w:ascii="Abadi" w:hAnsi="Abadi"/>
          <w:sz w:val="24"/>
          <w:szCs w:val="24"/>
        </w:rPr>
        <w:t xml:space="preserve"> los costes salariales que supondrían </w:t>
      </w:r>
      <w:r w:rsidR="00FE6A79">
        <w:rPr>
          <w:rFonts w:ascii="Abadi" w:hAnsi="Abadi"/>
          <w:sz w:val="24"/>
          <w:szCs w:val="24"/>
        </w:rPr>
        <w:t>la prestación de esas horas según el cálculo de costes directos o indirectos que haya realizado el órgano de contratación</w:t>
      </w:r>
      <w:r w:rsidR="00023D1B">
        <w:rPr>
          <w:rFonts w:ascii="Abadi" w:hAnsi="Abadi"/>
          <w:sz w:val="24"/>
          <w:szCs w:val="24"/>
        </w:rPr>
        <w:t xml:space="preserve"> </w:t>
      </w:r>
      <w:r w:rsidR="00F27CB9">
        <w:rPr>
          <w:rFonts w:ascii="Abadi" w:hAnsi="Abadi"/>
          <w:sz w:val="24"/>
          <w:szCs w:val="24"/>
        </w:rPr>
        <w:t xml:space="preserve">incluyendo separadamente </w:t>
      </w:r>
      <w:r w:rsidR="00023D1B">
        <w:rPr>
          <w:rFonts w:ascii="Abadi" w:hAnsi="Abadi"/>
          <w:sz w:val="24"/>
          <w:szCs w:val="24"/>
        </w:rPr>
        <w:t>el precio de los costes salariales.</w:t>
      </w:r>
      <w:r w:rsidR="00751D68">
        <w:rPr>
          <w:rFonts w:ascii="Abadi" w:hAnsi="Abadi"/>
          <w:sz w:val="24"/>
          <w:szCs w:val="24"/>
        </w:rPr>
        <w:t xml:space="preserve"> El hecho que sean prestaciones cuya efectiva realización no es segura no exime de su inclusión en el VEC toda vez que también las mejoras tienen esa condición y su valor potencial debe ser incluido (</w:t>
      </w:r>
      <w:r w:rsidR="005165F6">
        <w:rPr>
          <w:rFonts w:ascii="Abadi" w:hAnsi="Abadi"/>
          <w:sz w:val="24"/>
          <w:szCs w:val="24"/>
        </w:rPr>
        <w:t xml:space="preserve">art. 101.2.c) y también </w:t>
      </w:r>
      <w:r w:rsidR="00775C88">
        <w:rPr>
          <w:rFonts w:ascii="Abadi" w:hAnsi="Abadi"/>
          <w:sz w:val="24"/>
          <w:szCs w:val="24"/>
        </w:rPr>
        <w:t>101.2 LCSP en el que se afirma: “</w:t>
      </w:r>
      <w:r w:rsidR="00F07CB3" w:rsidRPr="00F07CB3">
        <w:rPr>
          <w:rFonts w:ascii="Abadi" w:hAnsi="Abadi"/>
          <w:sz w:val="24"/>
          <w:szCs w:val="24"/>
        </w:rPr>
        <w:t>En el cálculo del valor estimado deberán tenerse en cuenta, como mínimo, además de los costes derivados de la aplicación de las normativas laborales vigentes,</w:t>
      </w:r>
      <w:r w:rsidR="00F07CB3">
        <w:rPr>
          <w:rFonts w:ascii="Abadi" w:hAnsi="Abadi"/>
          <w:sz w:val="24"/>
          <w:szCs w:val="24"/>
        </w:rPr>
        <w:t>…”.</w:t>
      </w:r>
    </w:p>
    <w:p w14:paraId="5F662460" w14:textId="7EEA6A8A" w:rsidR="001B7FE9" w:rsidRDefault="00FF45DA" w:rsidP="001B7FE9">
      <w:pPr>
        <w:jc w:val="both"/>
        <w:rPr>
          <w:rFonts w:ascii="Abadi" w:hAnsi="Abadi"/>
          <w:sz w:val="24"/>
          <w:szCs w:val="24"/>
        </w:rPr>
      </w:pPr>
      <w:r>
        <w:rPr>
          <w:rFonts w:ascii="Abadi" w:hAnsi="Abadi"/>
          <w:sz w:val="24"/>
          <w:szCs w:val="24"/>
        </w:rPr>
        <w:t xml:space="preserve">El Informe del Tribunal de Cuentas </w:t>
      </w:r>
      <w:r w:rsidR="00B420FA">
        <w:rPr>
          <w:rFonts w:ascii="Abadi" w:hAnsi="Abadi"/>
          <w:sz w:val="24"/>
          <w:szCs w:val="24"/>
        </w:rPr>
        <w:t xml:space="preserve">nº 1428 </w:t>
      </w:r>
      <w:r w:rsidR="00B420FA" w:rsidRPr="00B420FA">
        <w:rPr>
          <w:rFonts w:ascii="Abadi" w:hAnsi="Abadi"/>
          <w:sz w:val="24"/>
          <w:szCs w:val="24"/>
        </w:rPr>
        <w:t xml:space="preserve">de fiscalización de la contratación de los servicios de limpieza y los de seguridad y vigilancia realizada por las </w:t>
      </w:r>
      <w:r w:rsidR="00476651">
        <w:rPr>
          <w:rFonts w:ascii="Abadi" w:hAnsi="Abadi"/>
          <w:sz w:val="24"/>
          <w:szCs w:val="24"/>
        </w:rPr>
        <w:t>C</w:t>
      </w:r>
      <w:r w:rsidR="00B420FA" w:rsidRPr="00B420FA">
        <w:rPr>
          <w:rFonts w:ascii="Abadi" w:hAnsi="Abadi"/>
          <w:sz w:val="24"/>
          <w:szCs w:val="24"/>
        </w:rPr>
        <w:t xml:space="preserve">omunidades </w:t>
      </w:r>
      <w:r w:rsidR="00476651">
        <w:rPr>
          <w:rFonts w:ascii="Abadi" w:hAnsi="Abadi"/>
          <w:sz w:val="24"/>
          <w:szCs w:val="24"/>
        </w:rPr>
        <w:t>A</w:t>
      </w:r>
      <w:r w:rsidR="00B420FA" w:rsidRPr="00B420FA">
        <w:rPr>
          <w:rFonts w:ascii="Abadi" w:hAnsi="Abadi"/>
          <w:sz w:val="24"/>
          <w:szCs w:val="24"/>
        </w:rPr>
        <w:t xml:space="preserve">utónomas y </w:t>
      </w:r>
      <w:r w:rsidR="00476651">
        <w:rPr>
          <w:rFonts w:ascii="Abadi" w:hAnsi="Abadi"/>
          <w:sz w:val="24"/>
          <w:szCs w:val="24"/>
        </w:rPr>
        <w:t>C</w:t>
      </w:r>
      <w:r w:rsidR="00B420FA" w:rsidRPr="00B420FA">
        <w:rPr>
          <w:rFonts w:ascii="Abadi" w:hAnsi="Abadi"/>
          <w:sz w:val="24"/>
          <w:szCs w:val="24"/>
        </w:rPr>
        <w:t xml:space="preserve">iudades </w:t>
      </w:r>
      <w:r w:rsidR="00476651">
        <w:rPr>
          <w:rFonts w:ascii="Abadi" w:hAnsi="Abadi"/>
          <w:sz w:val="24"/>
          <w:szCs w:val="24"/>
        </w:rPr>
        <w:t>A</w:t>
      </w:r>
      <w:r w:rsidR="00B420FA" w:rsidRPr="00B420FA">
        <w:rPr>
          <w:rFonts w:ascii="Abadi" w:hAnsi="Abadi"/>
          <w:sz w:val="24"/>
          <w:szCs w:val="24"/>
        </w:rPr>
        <w:t>utónomas sin órgano de control externo propio, ejercicio 2019</w:t>
      </w:r>
      <w:r w:rsidR="00476651">
        <w:rPr>
          <w:rFonts w:ascii="Abadi" w:hAnsi="Abadi"/>
          <w:sz w:val="24"/>
          <w:szCs w:val="24"/>
        </w:rPr>
        <w:t>, recomendaba</w:t>
      </w:r>
      <w:r w:rsidR="005F164E">
        <w:rPr>
          <w:rFonts w:ascii="Abadi" w:hAnsi="Abadi"/>
          <w:sz w:val="24"/>
          <w:szCs w:val="24"/>
        </w:rPr>
        <w:t xml:space="preserve"> (pág. 76)</w:t>
      </w:r>
      <w:r w:rsidR="00476651">
        <w:rPr>
          <w:rFonts w:ascii="Abadi" w:hAnsi="Abadi"/>
          <w:sz w:val="24"/>
          <w:szCs w:val="24"/>
        </w:rPr>
        <w:t xml:space="preserve">, </w:t>
      </w:r>
      <w:r w:rsidR="005F164E">
        <w:rPr>
          <w:rFonts w:ascii="Abadi" w:hAnsi="Abadi"/>
          <w:sz w:val="24"/>
          <w:szCs w:val="24"/>
        </w:rPr>
        <w:t>“</w:t>
      </w:r>
      <w:r w:rsidRPr="00FF45DA">
        <w:rPr>
          <w:rFonts w:ascii="Abadi" w:hAnsi="Abadi"/>
          <w:sz w:val="24"/>
          <w:szCs w:val="24"/>
        </w:rPr>
        <w:t>Elaborar memorias económicas de los contratos que permitan constatar el cumplimiento de los artículos 100, 101 y 102 de la LCSP, y facilitar la comprobación de la adecuación de los presupuestos y de las ofertas de los licitadores al cumplimiento de los costes salariales exigidos por los Convenios Colectivos. En relación con ello, y a fin de garantizar en la contratación la plenitud de los derechos salariales de los trabajadores de las empresas contratistas en los términos previstos en la Ley, deberían adoptarse instrucciones para que los órganos de contratación respectivos recojan siempre en los pliegos, en relación con las ofertas que incluyan mejoras consistentes en bolsas de horas adicionales sin coste para la Administración, la obligación de comprobar que las ofertas realizadas, considerando todos los costes salariales, permiten el adecuado cumplimiento de las obligaciones salariales aplicables como consecuencia de la normativa laboral o los convenios colectivos vigentes</w:t>
      </w:r>
      <w:r w:rsidR="005F164E">
        <w:rPr>
          <w:rFonts w:ascii="Abadi" w:hAnsi="Abadi"/>
          <w:sz w:val="24"/>
          <w:szCs w:val="24"/>
        </w:rPr>
        <w:t>”</w:t>
      </w:r>
      <w:r w:rsidRPr="00FF45DA">
        <w:rPr>
          <w:rFonts w:ascii="Abadi" w:hAnsi="Abadi"/>
          <w:sz w:val="24"/>
          <w:szCs w:val="24"/>
        </w:rPr>
        <w:t>.</w:t>
      </w:r>
    </w:p>
    <w:p w14:paraId="7FE19CEF" w14:textId="77777777" w:rsidR="00C416A8" w:rsidRPr="0043678D" w:rsidRDefault="00C416A8" w:rsidP="001B7FE9">
      <w:pPr>
        <w:jc w:val="both"/>
        <w:rPr>
          <w:rFonts w:ascii="Abadi" w:hAnsi="Abadi"/>
          <w:sz w:val="24"/>
          <w:szCs w:val="24"/>
        </w:rPr>
      </w:pPr>
    </w:p>
    <w:p w14:paraId="2DA6AC87" w14:textId="77777777" w:rsidR="001B7FE9" w:rsidRPr="0043678D" w:rsidRDefault="001B7FE9" w:rsidP="001B7FE9">
      <w:pPr>
        <w:jc w:val="both"/>
        <w:rPr>
          <w:rFonts w:ascii="Abadi" w:hAnsi="Abadi"/>
          <w:sz w:val="24"/>
          <w:szCs w:val="24"/>
        </w:rPr>
      </w:pPr>
    </w:p>
    <w:p w14:paraId="5C7EC52A" w14:textId="1F902038" w:rsidR="001B7FE9" w:rsidRDefault="001B7FE9" w:rsidP="0095555C">
      <w:pPr>
        <w:pStyle w:val="Pargrafdellista"/>
        <w:numPr>
          <w:ilvl w:val="0"/>
          <w:numId w:val="2"/>
        </w:numPr>
        <w:jc w:val="both"/>
        <w:rPr>
          <w:rFonts w:ascii="Abadi" w:hAnsi="Abadi"/>
          <w:sz w:val="24"/>
          <w:szCs w:val="24"/>
        </w:rPr>
      </w:pPr>
      <w:r w:rsidRPr="0043678D">
        <w:rPr>
          <w:rFonts w:ascii="Abadi" w:hAnsi="Abadi"/>
          <w:sz w:val="24"/>
          <w:szCs w:val="24"/>
        </w:rPr>
        <w:lastRenderedPageBreak/>
        <w:t xml:space="preserve">Otros sistemas </w:t>
      </w:r>
    </w:p>
    <w:p w14:paraId="5FDF2EFC" w14:textId="06FDD239" w:rsidR="00616B04" w:rsidRDefault="003B3BA0" w:rsidP="00616B04">
      <w:pPr>
        <w:jc w:val="both"/>
        <w:rPr>
          <w:rFonts w:ascii="Abadi" w:hAnsi="Abadi"/>
          <w:sz w:val="24"/>
          <w:szCs w:val="24"/>
          <w:lang w:val="es-ES"/>
        </w:rPr>
      </w:pPr>
      <w:r>
        <w:rPr>
          <w:rFonts w:ascii="Abadi" w:hAnsi="Abadi"/>
          <w:sz w:val="24"/>
          <w:szCs w:val="24"/>
        </w:rPr>
        <w:t xml:space="preserve">La </w:t>
      </w:r>
      <w:r w:rsidR="005E0FAC">
        <w:rPr>
          <w:rFonts w:ascii="Abadi" w:hAnsi="Abadi"/>
          <w:sz w:val="24"/>
          <w:szCs w:val="24"/>
        </w:rPr>
        <w:t>C</w:t>
      </w:r>
      <w:r>
        <w:rPr>
          <w:rFonts w:ascii="Abadi" w:hAnsi="Abadi"/>
          <w:sz w:val="24"/>
          <w:szCs w:val="24"/>
        </w:rPr>
        <w:t>entral de compras catalana, la “Comissió Central de Subministraments”</w:t>
      </w:r>
      <w:r w:rsidR="008D1F0F">
        <w:rPr>
          <w:rFonts w:ascii="Abadi" w:hAnsi="Abadi"/>
          <w:sz w:val="24"/>
          <w:szCs w:val="24"/>
        </w:rPr>
        <w:t>,</w:t>
      </w:r>
      <w:r>
        <w:rPr>
          <w:rFonts w:ascii="Abadi" w:hAnsi="Abadi"/>
          <w:sz w:val="24"/>
          <w:szCs w:val="24"/>
        </w:rPr>
        <w:t xml:space="preserve"> en la preparación del acuerdo marco de servicios de limpie</w:t>
      </w:r>
      <w:r w:rsidR="003F341C">
        <w:rPr>
          <w:rFonts w:ascii="Abadi" w:hAnsi="Abadi"/>
          <w:sz w:val="24"/>
          <w:szCs w:val="24"/>
        </w:rPr>
        <w:t>za</w:t>
      </w:r>
      <w:r w:rsidR="00394A17">
        <w:rPr>
          <w:rFonts w:ascii="Abadi" w:hAnsi="Abadi"/>
          <w:sz w:val="24"/>
          <w:szCs w:val="24"/>
        </w:rPr>
        <w:t xml:space="preserve"> del año 2016</w:t>
      </w:r>
      <w:r w:rsidR="003F341C">
        <w:rPr>
          <w:rFonts w:ascii="Abadi" w:hAnsi="Abadi"/>
          <w:sz w:val="24"/>
          <w:szCs w:val="24"/>
        </w:rPr>
        <w:t xml:space="preserve"> </w:t>
      </w:r>
      <w:r w:rsidR="00394A17">
        <w:rPr>
          <w:rFonts w:ascii="Abadi" w:hAnsi="Abadi"/>
          <w:sz w:val="24"/>
          <w:szCs w:val="24"/>
        </w:rPr>
        <w:t>practicó</w:t>
      </w:r>
      <w:r w:rsidR="003F341C">
        <w:rPr>
          <w:rFonts w:ascii="Abadi" w:hAnsi="Abadi"/>
          <w:sz w:val="24"/>
          <w:szCs w:val="24"/>
        </w:rPr>
        <w:t xml:space="preserve"> un diálogo con las asociaciones empresariales del sector a los efectos de acordar las condiciones</w:t>
      </w:r>
      <w:r w:rsidR="0005299D">
        <w:rPr>
          <w:rFonts w:ascii="Abadi" w:hAnsi="Abadi"/>
          <w:sz w:val="24"/>
          <w:szCs w:val="24"/>
        </w:rPr>
        <w:t xml:space="preserve"> operativas más eficientes </w:t>
      </w:r>
      <w:r w:rsidR="003D7F74">
        <w:rPr>
          <w:rFonts w:ascii="Abadi" w:hAnsi="Abadi"/>
          <w:sz w:val="24"/>
          <w:szCs w:val="24"/>
        </w:rPr>
        <w:t xml:space="preserve">que fueran </w:t>
      </w:r>
      <w:r w:rsidR="007818D3">
        <w:rPr>
          <w:rFonts w:ascii="Abadi" w:hAnsi="Abadi"/>
          <w:sz w:val="24"/>
          <w:szCs w:val="24"/>
        </w:rPr>
        <w:t>aceptadas</w:t>
      </w:r>
      <w:r w:rsidR="0005299D">
        <w:rPr>
          <w:rFonts w:ascii="Abadi" w:hAnsi="Abadi"/>
          <w:sz w:val="24"/>
          <w:szCs w:val="24"/>
        </w:rPr>
        <w:t xml:space="preserve"> por los operadores económicos y</w:t>
      </w:r>
      <w:r w:rsidR="007818D3">
        <w:rPr>
          <w:rFonts w:ascii="Abadi" w:hAnsi="Abadi"/>
          <w:sz w:val="24"/>
          <w:szCs w:val="24"/>
        </w:rPr>
        <w:t xml:space="preserve">, al mismo tiempo, </w:t>
      </w:r>
      <w:r w:rsidR="00D02788">
        <w:rPr>
          <w:rFonts w:ascii="Abadi" w:hAnsi="Abadi"/>
          <w:sz w:val="24"/>
          <w:szCs w:val="24"/>
        </w:rPr>
        <w:t>supusieran un planteamiento</w:t>
      </w:r>
      <w:r w:rsidR="0005299D">
        <w:rPr>
          <w:rFonts w:ascii="Abadi" w:hAnsi="Abadi"/>
          <w:sz w:val="24"/>
          <w:szCs w:val="24"/>
        </w:rPr>
        <w:t xml:space="preserve"> respetuos</w:t>
      </w:r>
      <w:r w:rsidR="00D02788">
        <w:rPr>
          <w:rFonts w:ascii="Abadi" w:hAnsi="Abadi"/>
          <w:sz w:val="24"/>
          <w:szCs w:val="24"/>
        </w:rPr>
        <w:t>o</w:t>
      </w:r>
      <w:r w:rsidR="0005299D">
        <w:rPr>
          <w:rFonts w:ascii="Abadi" w:hAnsi="Abadi"/>
          <w:sz w:val="24"/>
          <w:szCs w:val="24"/>
        </w:rPr>
        <w:t xml:space="preserve"> con la contratación pública estratégica. El acuerdo</w:t>
      </w:r>
      <w:r w:rsidR="00220E88">
        <w:rPr>
          <w:rFonts w:ascii="Abadi" w:hAnsi="Abadi"/>
          <w:sz w:val="24"/>
          <w:szCs w:val="24"/>
        </w:rPr>
        <w:t xml:space="preserve"> se materializó en un código de buenas prácticas </w:t>
      </w:r>
      <w:r w:rsidR="007818D3">
        <w:rPr>
          <w:rFonts w:ascii="Abadi" w:hAnsi="Abadi"/>
          <w:sz w:val="24"/>
          <w:szCs w:val="24"/>
        </w:rPr>
        <w:t>que i</w:t>
      </w:r>
      <w:r w:rsidR="00220E88">
        <w:rPr>
          <w:rFonts w:ascii="Abadi" w:hAnsi="Abadi"/>
          <w:sz w:val="24"/>
          <w:szCs w:val="24"/>
        </w:rPr>
        <w:t xml:space="preserve">ncluyó </w:t>
      </w:r>
      <w:r w:rsidR="009968A8">
        <w:rPr>
          <w:rFonts w:ascii="Abadi" w:hAnsi="Abadi"/>
          <w:sz w:val="24"/>
          <w:szCs w:val="24"/>
        </w:rPr>
        <w:t xml:space="preserve">en la sección de criterios de adjudicación </w:t>
      </w:r>
      <w:r w:rsidR="00142019">
        <w:rPr>
          <w:rFonts w:ascii="Abadi" w:hAnsi="Abadi"/>
          <w:sz w:val="24"/>
          <w:szCs w:val="24"/>
        </w:rPr>
        <w:t>el</w:t>
      </w:r>
      <w:r w:rsidR="009968A8">
        <w:rPr>
          <w:rFonts w:ascii="Abadi" w:hAnsi="Abadi"/>
          <w:sz w:val="24"/>
          <w:szCs w:val="24"/>
        </w:rPr>
        <w:t xml:space="preserve"> acuerdo</w:t>
      </w:r>
      <w:r w:rsidR="00142019">
        <w:rPr>
          <w:rFonts w:ascii="Abadi" w:hAnsi="Abadi"/>
          <w:sz w:val="24"/>
          <w:szCs w:val="24"/>
        </w:rPr>
        <w:t xml:space="preserve"> de no incluir en los contratos basados </w:t>
      </w:r>
      <w:r w:rsidR="00E9068B">
        <w:rPr>
          <w:rFonts w:ascii="Abadi" w:hAnsi="Abadi"/>
          <w:sz w:val="24"/>
          <w:szCs w:val="24"/>
        </w:rPr>
        <w:t>como criterio de adjudicación la “bolsa de horas”.</w:t>
      </w:r>
      <w:r w:rsidR="00412B66">
        <w:rPr>
          <w:rFonts w:ascii="Abadi" w:hAnsi="Abadi"/>
          <w:sz w:val="24"/>
          <w:szCs w:val="24"/>
        </w:rPr>
        <w:t xml:space="preserve"> La cláusula 34 del pliego del acuerdo marco así lo recoge</w:t>
      </w:r>
      <w:r w:rsidR="00B14372">
        <w:rPr>
          <w:rFonts w:ascii="Abadi" w:hAnsi="Abadi"/>
          <w:sz w:val="24"/>
          <w:szCs w:val="24"/>
        </w:rPr>
        <w:t xml:space="preserve"> con un párrafo final que establece que, </w:t>
      </w:r>
      <w:r w:rsidR="00616B04">
        <w:rPr>
          <w:rFonts w:ascii="Abadi" w:hAnsi="Abadi"/>
          <w:sz w:val="24"/>
          <w:szCs w:val="24"/>
        </w:rPr>
        <w:t>“</w:t>
      </w:r>
      <w:r w:rsidR="00616B04" w:rsidRPr="00616B04">
        <w:rPr>
          <w:rFonts w:ascii="Abadi" w:hAnsi="Abadi"/>
          <w:sz w:val="24"/>
          <w:szCs w:val="24"/>
          <w:lang w:val="es-ES"/>
        </w:rPr>
        <w:t>En los contratos basados, los órganos de contratación tendrán que plantear sus presupuestos</w:t>
      </w:r>
      <w:r w:rsidR="00903BF7">
        <w:rPr>
          <w:rFonts w:ascii="Abadi" w:hAnsi="Abadi"/>
          <w:sz w:val="24"/>
          <w:szCs w:val="24"/>
          <w:lang w:val="es-ES"/>
        </w:rPr>
        <w:t xml:space="preserve"> </w:t>
      </w:r>
      <w:r w:rsidR="00616B04" w:rsidRPr="00616B04">
        <w:rPr>
          <w:rFonts w:ascii="Abadi" w:hAnsi="Abadi"/>
          <w:sz w:val="24"/>
          <w:szCs w:val="24"/>
          <w:lang w:val="es-ES"/>
        </w:rPr>
        <w:t>de licitación de forma que los precios/hora a ofrecer por los licitadores para la prestación ordinaria</w:t>
      </w:r>
      <w:r w:rsidR="005C5F62">
        <w:rPr>
          <w:rFonts w:ascii="Abadi" w:hAnsi="Abadi"/>
          <w:sz w:val="24"/>
          <w:szCs w:val="24"/>
          <w:lang w:val="es-ES"/>
        </w:rPr>
        <w:t xml:space="preserve"> </w:t>
      </w:r>
      <w:r w:rsidR="00616B04" w:rsidRPr="00616B04">
        <w:rPr>
          <w:rFonts w:ascii="Abadi" w:hAnsi="Abadi"/>
          <w:sz w:val="24"/>
          <w:szCs w:val="24"/>
          <w:lang w:val="es-ES"/>
        </w:rPr>
        <w:t>de los servicios incorporen todos los costes asociados a su prestación.</w:t>
      </w:r>
      <w:r w:rsidR="00903BF7">
        <w:rPr>
          <w:rFonts w:ascii="Abadi" w:hAnsi="Abadi"/>
          <w:sz w:val="24"/>
          <w:szCs w:val="24"/>
          <w:lang w:val="es-ES"/>
        </w:rPr>
        <w:t xml:space="preserve">” </w:t>
      </w:r>
    </w:p>
    <w:p w14:paraId="310DE777" w14:textId="578985A2" w:rsidR="005C5F62" w:rsidRDefault="005C5F62" w:rsidP="00616B04">
      <w:pPr>
        <w:jc w:val="both"/>
        <w:rPr>
          <w:rFonts w:ascii="Abadi" w:hAnsi="Abadi"/>
          <w:sz w:val="24"/>
          <w:szCs w:val="24"/>
          <w:lang w:val="es-ES"/>
        </w:rPr>
      </w:pPr>
      <w:r>
        <w:rPr>
          <w:rFonts w:ascii="Abadi" w:hAnsi="Abadi"/>
          <w:sz w:val="24"/>
          <w:szCs w:val="24"/>
          <w:lang w:val="es-ES"/>
        </w:rPr>
        <w:t xml:space="preserve">Ciertamente, ésta </w:t>
      </w:r>
      <w:r w:rsidR="000A6823">
        <w:rPr>
          <w:rFonts w:ascii="Abadi" w:hAnsi="Abadi"/>
          <w:sz w:val="24"/>
          <w:szCs w:val="24"/>
          <w:lang w:val="es-ES"/>
        </w:rPr>
        <w:t>parece</w:t>
      </w:r>
      <w:r>
        <w:rPr>
          <w:rFonts w:ascii="Abadi" w:hAnsi="Abadi"/>
          <w:sz w:val="24"/>
          <w:szCs w:val="24"/>
          <w:lang w:val="es-ES"/>
        </w:rPr>
        <w:t xml:space="preserve"> la solución más respetuosa</w:t>
      </w:r>
      <w:r w:rsidR="009504F8">
        <w:rPr>
          <w:rFonts w:ascii="Abadi" w:hAnsi="Abadi"/>
          <w:sz w:val="24"/>
          <w:szCs w:val="24"/>
          <w:lang w:val="es-ES"/>
        </w:rPr>
        <w:t xml:space="preserve"> con la actual contratación pública estratégica: renunciar a la oferta de horas gratuitas </w:t>
      </w:r>
      <w:r w:rsidR="00860269">
        <w:rPr>
          <w:rFonts w:ascii="Abadi" w:hAnsi="Abadi"/>
          <w:sz w:val="24"/>
          <w:szCs w:val="24"/>
          <w:lang w:val="es-ES"/>
        </w:rPr>
        <w:t xml:space="preserve">sin coste para la Administración </w:t>
      </w:r>
      <w:r w:rsidR="009504F8">
        <w:rPr>
          <w:rFonts w:ascii="Abadi" w:hAnsi="Abadi"/>
          <w:sz w:val="24"/>
          <w:szCs w:val="24"/>
          <w:lang w:val="es-ES"/>
        </w:rPr>
        <w:t>y, por el contrario, pagar los servicios recibidos a su coste real en el marco de una legítima competencia entre las empresas concurrentes en la licitación.</w:t>
      </w:r>
    </w:p>
    <w:p w14:paraId="31556849" w14:textId="7C779F41" w:rsidR="00C00281" w:rsidRDefault="00C00281" w:rsidP="00616B04">
      <w:pPr>
        <w:jc w:val="both"/>
        <w:rPr>
          <w:rFonts w:ascii="Abadi" w:hAnsi="Abadi"/>
          <w:sz w:val="24"/>
          <w:szCs w:val="24"/>
          <w:lang w:val="es-ES"/>
        </w:rPr>
      </w:pPr>
      <w:r>
        <w:rPr>
          <w:rFonts w:ascii="Abadi" w:hAnsi="Abadi"/>
          <w:sz w:val="24"/>
          <w:szCs w:val="24"/>
          <w:lang w:val="es-ES"/>
        </w:rPr>
        <w:t xml:space="preserve">Potenciar una competencia entre las empresas </w:t>
      </w:r>
      <w:r w:rsidR="005F1ABD">
        <w:rPr>
          <w:rFonts w:ascii="Abadi" w:hAnsi="Abadi"/>
          <w:sz w:val="24"/>
          <w:szCs w:val="24"/>
          <w:lang w:val="es-ES"/>
        </w:rPr>
        <w:t xml:space="preserve">a partir de que puedan ofrecer prestaciones que no se </w:t>
      </w:r>
      <w:r w:rsidR="000E6C45">
        <w:rPr>
          <w:rFonts w:ascii="Abadi" w:hAnsi="Abadi"/>
          <w:sz w:val="24"/>
          <w:szCs w:val="24"/>
          <w:lang w:val="es-ES"/>
        </w:rPr>
        <w:t>pueden costear y especialmente cuando se trata de pagar salarios debe ser frenado desde todos los frentes legales que ofrece la LCSP</w:t>
      </w:r>
      <w:r w:rsidR="00981C9D">
        <w:rPr>
          <w:rFonts w:ascii="Abadi" w:hAnsi="Abadi"/>
          <w:sz w:val="24"/>
          <w:szCs w:val="24"/>
          <w:lang w:val="es-ES"/>
        </w:rPr>
        <w:t xml:space="preserve">. El </w:t>
      </w:r>
      <w:r w:rsidR="00E53254">
        <w:rPr>
          <w:rFonts w:ascii="Abadi" w:hAnsi="Abadi"/>
          <w:sz w:val="24"/>
          <w:szCs w:val="24"/>
          <w:lang w:val="es-ES"/>
        </w:rPr>
        <w:t>establecimiento</w:t>
      </w:r>
      <w:r w:rsidR="00981C9D">
        <w:rPr>
          <w:rFonts w:ascii="Abadi" w:hAnsi="Abadi"/>
          <w:sz w:val="24"/>
          <w:szCs w:val="24"/>
          <w:lang w:val="es-ES"/>
        </w:rPr>
        <w:t xml:space="preserve"> de límites a la oferta de horas </w:t>
      </w:r>
      <w:r w:rsidR="00E53254">
        <w:rPr>
          <w:rFonts w:ascii="Abadi" w:hAnsi="Abadi"/>
          <w:sz w:val="24"/>
          <w:szCs w:val="24"/>
          <w:lang w:val="es-ES"/>
        </w:rPr>
        <w:t>adicionales</w:t>
      </w:r>
      <w:r w:rsidR="00981C9D">
        <w:rPr>
          <w:rFonts w:ascii="Abadi" w:hAnsi="Abadi"/>
          <w:sz w:val="24"/>
          <w:szCs w:val="24"/>
          <w:lang w:val="es-ES"/>
        </w:rPr>
        <w:t xml:space="preserve"> es uno de ellos y aún un segundo cribado será constatar que </w:t>
      </w:r>
      <w:r w:rsidR="009010C4">
        <w:rPr>
          <w:rFonts w:ascii="Abadi" w:hAnsi="Abadi"/>
          <w:sz w:val="24"/>
          <w:szCs w:val="24"/>
          <w:lang w:val="es-ES"/>
        </w:rPr>
        <w:t>el precio ofertado es conciliable con el pago de los salarios correspondientes</w:t>
      </w:r>
      <w:r w:rsidR="00E53254">
        <w:rPr>
          <w:rFonts w:ascii="Abadi" w:hAnsi="Abadi"/>
          <w:sz w:val="24"/>
          <w:szCs w:val="24"/>
          <w:lang w:val="es-ES"/>
        </w:rPr>
        <w:t xml:space="preserve"> a las prestaciones ofertadas incluyendo el número de horas </w:t>
      </w:r>
      <w:r w:rsidR="009E3435">
        <w:rPr>
          <w:rFonts w:ascii="Abadi" w:hAnsi="Abadi"/>
          <w:sz w:val="24"/>
          <w:szCs w:val="24"/>
          <w:lang w:val="es-ES"/>
        </w:rPr>
        <w:t>adicionales</w:t>
      </w:r>
      <w:r w:rsidR="00886EB3">
        <w:rPr>
          <w:rFonts w:ascii="Abadi" w:hAnsi="Abadi"/>
          <w:sz w:val="24"/>
          <w:szCs w:val="24"/>
          <w:lang w:val="es-ES"/>
        </w:rPr>
        <w:t xml:space="preserve"> (arts. 14</w:t>
      </w:r>
      <w:r w:rsidR="009A5D46">
        <w:rPr>
          <w:rFonts w:ascii="Abadi" w:hAnsi="Abadi"/>
          <w:sz w:val="24"/>
          <w:szCs w:val="24"/>
          <w:lang w:val="es-ES"/>
        </w:rPr>
        <w:t>9.4</w:t>
      </w:r>
      <w:r w:rsidR="003449B2">
        <w:rPr>
          <w:rFonts w:ascii="Abadi" w:hAnsi="Abadi"/>
          <w:sz w:val="24"/>
          <w:szCs w:val="24"/>
          <w:lang w:val="es-ES"/>
        </w:rPr>
        <w:t>.d)</w:t>
      </w:r>
      <w:r w:rsidR="00886EB3">
        <w:rPr>
          <w:rFonts w:ascii="Abadi" w:hAnsi="Abadi"/>
          <w:sz w:val="24"/>
          <w:szCs w:val="24"/>
          <w:lang w:val="es-ES"/>
        </w:rPr>
        <w:t xml:space="preserve"> y 201 LCSP).</w:t>
      </w:r>
    </w:p>
    <w:p w14:paraId="7A5D7305" w14:textId="77777777" w:rsidR="009504F8" w:rsidRPr="00616B04" w:rsidRDefault="009504F8" w:rsidP="00616B04">
      <w:pPr>
        <w:jc w:val="both"/>
        <w:rPr>
          <w:rFonts w:ascii="Abadi" w:hAnsi="Abadi"/>
          <w:sz w:val="24"/>
          <w:szCs w:val="24"/>
          <w:lang w:val="es-ES"/>
        </w:rPr>
      </w:pPr>
    </w:p>
    <w:p w14:paraId="15D84BF8" w14:textId="101A5F9A" w:rsidR="003B3BA0" w:rsidRPr="003B3BA0" w:rsidRDefault="003B3BA0" w:rsidP="003B3BA0">
      <w:pPr>
        <w:jc w:val="both"/>
        <w:rPr>
          <w:rFonts w:ascii="Abadi" w:hAnsi="Abadi"/>
          <w:sz w:val="24"/>
          <w:szCs w:val="24"/>
        </w:rPr>
      </w:pPr>
    </w:p>
    <w:p w14:paraId="1830138C" w14:textId="77777777" w:rsidR="0095555C" w:rsidRPr="0043678D" w:rsidRDefault="0095555C" w:rsidP="0095555C">
      <w:pPr>
        <w:jc w:val="both"/>
        <w:rPr>
          <w:rFonts w:ascii="Abadi" w:hAnsi="Abadi"/>
          <w:sz w:val="24"/>
          <w:szCs w:val="24"/>
        </w:rPr>
      </w:pPr>
    </w:p>
    <w:p w14:paraId="6BFBBBC1" w14:textId="77777777" w:rsidR="000D75A7" w:rsidRPr="0043678D" w:rsidRDefault="000D75A7" w:rsidP="00015DD4">
      <w:pPr>
        <w:jc w:val="both"/>
        <w:rPr>
          <w:rFonts w:ascii="Abadi" w:hAnsi="Abadi"/>
          <w:sz w:val="24"/>
          <w:szCs w:val="24"/>
        </w:rPr>
      </w:pPr>
    </w:p>
    <w:p w14:paraId="668E581A" w14:textId="77777777" w:rsidR="00CA2248" w:rsidRPr="009E0AFC" w:rsidRDefault="00CA2248" w:rsidP="009E0AFC">
      <w:pPr>
        <w:jc w:val="both"/>
        <w:rPr>
          <w:rFonts w:ascii="Abadi" w:hAnsi="Abadi"/>
          <w:sz w:val="24"/>
          <w:szCs w:val="24"/>
        </w:rPr>
      </w:pPr>
    </w:p>
    <w:p w14:paraId="0E25C7C5" w14:textId="175931B2" w:rsidR="0059426F" w:rsidRPr="009820C5" w:rsidRDefault="0059426F" w:rsidP="00015DD4">
      <w:pPr>
        <w:jc w:val="both"/>
        <w:rPr>
          <w:rFonts w:ascii="Abadi" w:hAnsi="Abadi"/>
          <w:sz w:val="24"/>
          <w:szCs w:val="24"/>
        </w:rPr>
      </w:pPr>
    </w:p>
    <w:sectPr w:rsidR="0059426F" w:rsidRPr="009820C5" w:rsidSect="00E061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bad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B3D97"/>
    <w:multiLevelType w:val="hybridMultilevel"/>
    <w:tmpl w:val="75A0FE12"/>
    <w:lvl w:ilvl="0" w:tplc="C6ECFAB4">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1A6165B"/>
    <w:multiLevelType w:val="hybridMultilevel"/>
    <w:tmpl w:val="3F78515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954679976">
    <w:abstractNumId w:val="0"/>
  </w:num>
  <w:num w:numId="2" w16cid:durableId="1084643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DA"/>
    <w:rsid w:val="00004251"/>
    <w:rsid w:val="000112F5"/>
    <w:rsid w:val="00015DD4"/>
    <w:rsid w:val="00020955"/>
    <w:rsid w:val="000226FD"/>
    <w:rsid w:val="00023D1B"/>
    <w:rsid w:val="0003306D"/>
    <w:rsid w:val="0003783D"/>
    <w:rsid w:val="00046049"/>
    <w:rsid w:val="000513F5"/>
    <w:rsid w:val="0005299D"/>
    <w:rsid w:val="00053299"/>
    <w:rsid w:val="0005630A"/>
    <w:rsid w:val="00056A2F"/>
    <w:rsid w:val="00067F0D"/>
    <w:rsid w:val="000754F1"/>
    <w:rsid w:val="000A0834"/>
    <w:rsid w:val="000A534A"/>
    <w:rsid w:val="000A6560"/>
    <w:rsid w:val="000A6823"/>
    <w:rsid w:val="000D26D9"/>
    <w:rsid w:val="000D2782"/>
    <w:rsid w:val="000D5486"/>
    <w:rsid w:val="000D650F"/>
    <w:rsid w:val="000D75A7"/>
    <w:rsid w:val="000E6C45"/>
    <w:rsid w:val="000F09A7"/>
    <w:rsid w:val="001109B9"/>
    <w:rsid w:val="001158F6"/>
    <w:rsid w:val="00121D74"/>
    <w:rsid w:val="001233C0"/>
    <w:rsid w:val="0012393B"/>
    <w:rsid w:val="00126A56"/>
    <w:rsid w:val="00126D54"/>
    <w:rsid w:val="0014076D"/>
    <w:rsid w:val="00142019"/>
    <w:rsid w:val="00146054"/>
    <w:rsid w:val="0017102A"/>
    <w:rsid w:val="001757E7"/>
    <w:rsid w:val="00177BDC"/>
    <w:rsid w:val="0019066E"/>
    <w:rsid w:val="00192762"/>
    <w:rsid w:val="001A1554"/>
    <w:rsid w:val="001B1477"/>
    <w:rsid w:val="001B44A1"/>
    <w:rsid w:val="001B586E"/>
    <w:rsid w:val="001B628F"/>
    <w:rsid w:val="001B7FE9"/>
    <w:rsid w:val="001C25A3"/>
    <w:rsid w:val="001E0882"/>
    <w:rsid w:val="001E57DA"/>
    <w:rsid w:val="001E7E35"/>
    <w:rsid w:val="001F70D9"/>
    <w:rsid w:val="00203E0E"/>
    <w:rsid w:val="00205075"/>
    <w:rsid w:val="0020674E"/>
    <w:rsid w:val="00207064"/>
    <w:rsid w:val="00215EB2"/>
    <w:rsid w:val="00220E88"/>
    <w:rsid w:val="00225B0A"/>
    <w:rsid w:val="00232D54"/>
    <w:rsid w:val="002346FB"/>
    <w:rsid w:val="002349A0"/>
    <w:rsid w:val="00243C35"/>
    <w:rsid w:val="00245C15"/>
    <w:rsid w:val="00247B7D"/>
    <w:rsid w:val="00252CF5"/>
    <w:rsid w:val="002548D9"/>
    <w:rsid w:val="00254B73"/>
    <w:rsid w:val="002605BB"/>
    <w:rsid w:val="00281BC2"/>
    <w:rsid w:val="002956D8"/>
    <w:rsid w:val="00296413"/>
    <w:rsid w:val="002B7247"/>
    <w:rsid w:val="002C09E5"/>
    <w:rsid w:val="002D1686"/>
    <w:rsid w:val="00305349"/>
    <w:rsid w:val="00306BEF"/>
    <w:rsid w:val="003277FA"/>
    <w:rsid w:val="003449B2"/>
    <w:rsid w:val="00345814"/>
    <w:rsid w:val="0035014D"/>
    <w:rsid w:val="00350849"/>
    <w:rsid w:val="003531FA"/>
    <w:rsid w:val="00362AAC"/>
    <w:rsid w:val="00362B99"/>
    <w:rsid w:val="00387960"/>
    <w:rsid w:val="00394A17"/>
    <w:rsid w:val="0039559D"/>
    <w:rsid w:val="003A4FA3"/>
    <w:rsid w:val="003B177B"/>
    <w:rsid w:val="003B31F7"/>
    <w:rsid w:val="003B3BA0"/>
    <w:rsid w:val="003C278A"/>
    <w:rsid w:val="003D5032"/>
    <w:rsid w:val="003D7F74"/>
    <w:rsid w:val="003E025D"/>
    <w:rsid w:val="003E1558"/>
    <w:rsid w:val="003F23CF"/>
    <w:rsid w:val="003F341C"/>
    <w:rsid w:val="003F43E5"/>
    <w:rsid w:val="003F523E"/>
    <w:rsid w:val="003F6664"/>
    <w:rsid w:val="00400E31"/>
    <w:rsid w:val="00404221"/>
    <w:rsid w:val="00412B66"/>
    <w:rsid w:val="00413747"/>
    <w:rsid w:val="00414DE3"/>
    <w:rsid w:val="00433741"/>
    <w:rsid w:val="0043678D"/>
    <w:rsid w:val="00445C57"/>
    <w:rsid w:val="004550A2"/>
    <w:rsid w:val="00466523"/>
    <w:rsid w:val="00476651"/>
    <w:rsid w:val="00477610"/>
    <w:rsid w:val="00484861"/>
    <w:rsid w:val="00493CCF"/>
    <w:rsid w:val="004A0643"/>
    <w:rsid w:val="004A4894"/>
    <w:rsid w:val="004A4C29"/>
    <w:rsid w:val="004B5DDB"/>
    <w:rsid w:val="004C5EC3"/>
    <w:rsid w:val="004C6D22"/>
    <w:rsid w:val="004D6BC5"/>
    <w:rsid w:val="00503D6E"/>
    <w:rsid w:val="00515187"/>
    <w:rsid w:val="005165F6"/>
    <w:rsid w:val="00517544"/>
    <w:rsid w:val="00524C14"/>
    <w:rsid w:val="00554BC5"/>
    <w:rsid w:val="005625C0"/>
    <w:rsid w:val="00566264"/>
    <w:rsid w:val="005665A7"/>
    <w:rsid w:val="0057100D"/>
    <w:rsid w:val="00580FA0"/>
    <w:rsid w:val="0059426F"/>
    <w:rsid w:val="00594B1C"/>
    <w:rsid w:val="00597277"/>
    <w:rsid w:val="005A25B5"/>
    <w:rsid w:val="005A45C1"/>
    <w:rsid w:val="005A524A"/>
    <w:rsid w:val="005A5B21"/>
    <w:rsid w:val="005A7BD5"/>
    <w:rsid w:val="005C4B20"/>
    <w:rsid w:val="005C54C1"/>
    <w:rsid w:val="005C5F62"/>
    <w:rsid w:val="005E0FAC"/>
    <w:rsid w:val="005E387E"/>
    <w:rsid w:val="005F164E"/>
    <w:rsid w:val="005F1ABD"/>
    <w:rsid w:val="005F243B"/>
    <w:rsid w:val="005F4304"/>
    <w:rsid w:val="005F57CB"/>
    <w:rsid w:val="00605C24"/>
    <w:rsid w:val="0061090A"/>
    <w:rsid w:val="00616B04"/>
    <w:rsid w:val="00620660"/>
    <w:rsid w:val="006302F7"/>
    <w:rsid w:val="00637924"/>
    <w:rsid w:val="00640A45"/>
    <w:rsid w:val="00640EE8"/>
    <w:rsid w:val="0064148A"/>
    <w:rsid w:val="0066668A"/>
    <w:rsid w:val="00675EDF"/>
    <w:rsid w:val="00677ABE"/>
    <w:rsid w:val="00681F42"/>
    <w:rsid w:val="00696089"/>
    <w:rsid w:val="006B7DFC"/>
    <w:rsid w:val="006D2612"/>
    <w:rsid w:val="006E0E42"/>
    <w:rsid w:val="006E14BE"/>
    <w:rsid w:val="006E6394"/>
    <w:rsid w:val="006F28A2"/>
    <w:rsid w:val="00700797"/>
    <w:rsid w:val="00706127"/>
    <w:rsid w:val="0070713A"/>
    <w:rsid w:val="00714A09"/>
    <w:rsid w:val="00722776"/>
    <w:rsid w:val="00746642"/>
    <w:rsid w:val="00751D68"/>
    <w:rsid w:val="00761C76"/>
    <w:rsid w:val="00767C0D"/>
    <w:rsid w:val="00770BAB"/>
    <w:rsid w:val="00774200"/>
    <w:rsid w:val="00775861"/>
    <w:rsid w:val="00775C88"/>
    <w:rsid w:val="007818D3"/>
    <w:rsid w:val="007964B1"/>
    <w:rsid w:val="00797FF3"/>
    <w:rsid w:val="007B0525"/>
    <w:rsid w:val="007B38EC"/>
    <w:rsid w:val="007B63DB"/>
    <w:rsid w:val="007C2A68"/>
    <w:rsid w:val="007E083E"/>
    <w:rsid w:val="007F3B39"/>
    <w:rsid w:val="008202CC"/>
    <w:rsid w:val="00821C50"/>
    <w:rsid w:val="008264E3"/>
    <w:rsid w:val="008348AA"/>
    <w:rsid w:val="00842AAE"/>
    <w:rsid w:val="00852C30"/>
    <w:rsid w:val="00860269"/>
    <w:rsid w:val="008656CD"/>
    <w:rsid w:val="00871112"/>
    <w:rsid w:val="00886503"/>
    <w:rsid w:val="00886EB3"/>
    <w:rsid w:val="008B0579"/>
    <w:rsid w:val="008B406E"/>
    <w:rsid w:val="008D1EEB"/>
    <w:rsid w:val="008D1F0F"/>
    <w:rsid w:val="008D4A5B"/>
    <w:rsid w:val="008E0EA1"/>
    <w:rsid w:val="009010C4"/>
    <w:rsid w:val="00903BF7"/>
    <w:rsid w:val="0091459C"/>
    <w:rsid w:val="009155AC"/>
    <w:rsid w:val="00915FC9"/>
    <w:rsid w:val="009200DE"/>
    <w:rsid w:val="00927F8B"/>
    <w:rsid w:val="009504F8"/>
    <w:rsid w:val="009538D8"/>
    <w:rsid w:val="0095555C"/>
    <w:rsid w:val="009659C0"/>
    <w:rsid w:val="009739BF"/>
    <w:rsid w:val="0097547A"/>
    <w:rsid w:val="00981C9D"/>
    <w:rsid w:val="009820C5"/>
    <w:rsid w:val="009968A8"/>
    <w:rsid w:val="009A1DC0"/>
    <w:rsid w:val="009A31BE"/>
    <w:rsid w:val="009A3909"/>
    <w:rsid w:val="009A5D46"/>
    <w:rsid w:val="009A6F1E"/>
    <w:rsid w:val="009B56D4"/>
    <w:rsid w:val="009D1808"/>
    <w:rsid w:val="009E0AFC"/>
    <w:rsid w:val="009E3435"/>
    <w:rsid w:val="009E3BE0"/>
    <w:rsid w:val="009E4065"/>
    <w:rsid w:val="009E4A01"/>
    <w:rsid w:val="009F5068"/>
    <w:rsid w:val="00A020B5"/>
    <w:rsid w:val="00A06217"/>
    <w:rsid w:val="00A1544F"/>
    <w:rsid w:val="00A338B0"/>
    <w:rsid w:val="00A36DC3"/>
    <w:rsid w:val="00A545A8"/>
    <w:rsid w:val="00A54626"/>
    <w:rsid w:val="00A5608B"/>
    <w:rsid w:val="00A647A4"/>
    <w:rsid w:val="00A768F8"/>
    <w:rsid w:val="00A95438"/>
    <w:rsid w:val="00AA3B6A"/>
    <w:rsid w:val="00AA7625"/>
    <w:rsid w:val="00AB4668"/>
    <w:rsid w:val="00AD5831"/>
    <w:rsid w:val="00AF67F8"/>
    <w:rsid w:val="00AF7EDD"/>
    <w:rsid w:val="00B11700"/>
    <w:rsid w:val="00B14372"/>
    <w:rsid w:val="00B1553F"/>
    <w:rsid w:val="00B333A5"/>
    <w:rsid w:val="00B420FA"/>
    <w:rsid w:val="00B44273"/>
    <w:rsid w:val="00B468A7"/>
    <w:rsid w:val="00B7282F"/>
    <w:rsid w:val="00B83B87"/>
    <w:rsid w:val="00B930AD"/>
    <w:rsid w:val="00B967CA"/>
    <w:rsid w:val="00B977EA"/>
    <w:rsid w:val="00B97F85"/>
    <w:rsid w:val="00BA5449"/>
    <w:rsid w:val="00BA760A"/>
    <w:rsid w:val="00BB4193"/>
    <w:rsid w:val="00BC448C"/>
    <w:rsid w:val="00BC7817"/>
    <w:rsid w:val="00BD093E"/>
    <w:rsid w:val="00BD0D26"/>
    <w:rsid w:val="00BD2DAA"/>
    <w:rsid w:val="00BD4A29"/>
    <w:rsid w:val="00BD7BD8"/>
    <w:rsid w:val="00C00281"/>
    <w:rsid w:val="00C1236C"/>
    <w:rsid w:val="00C12DCA"/>
    <w:rsid w:val="00C14E57"/>
    <w:rsid w:val="00C416A8"/>
    <w:rsid w:val="00C53F0B"/>
    <w:rsid w:val="00C63153"/>
    <w:rsid w:val="00C67D14"/>
    <w:rsid w:val="00C70E7A"/>
    <w:rsid w:val="00C82A84"/>
    <w:rsid w:val="00C94589"/>
    <w:rsid w:val="00CA2248"/>
    <w:rsid w:val="00CA3207"/>
    <w:rsid w:val="00CB426E"/>
    <w:rsid w:val="00CD609A"/>
    <w:rsid w:val="00CE4FE6"/>
    <w:rsid w:val="00CF0A99"/>
    <w:rsid w:val="00CF2788"/>
    <w:rsid w:val="00D02788"/>
    <w:rsid w:val="00D078A0"/>
    <w:rsid w:val="00D12A16"/>
    <w:rsid w:val="00D13584"/>
    <w:rsid w:val="00D21CE7"/>
    <w:rsid w:val="00D315C1"/>
    <w:rsid w:val="00D34012"/>
    <w:rsid w:val="00D8779B"/>
    <w:rsid w:val="00DA6033"/>
    <w:rsid w:val="00DD5CBD"/>
    <w:rsid w:val="00DE3EF5"/>
    <w:rsid w:val="00DF3789"/>
    <w:rsid w:val="00DF4651"/>
    <w:rsid w:val="00E01A19"/>
    <w:rsid w:val="00E02FE7"/>
    <w:rsid w:val="00E061B3"/>
    <w:rsid w:val="00E1262F"/>
    <w:rsid w:val="00E21EF3"/>
    <w:rsid w:val="00E336C0"/>
    <w:rsid w:val="00E349A4"/>
    <w:rsid w:val="00E448D8"/>
    <w:rsid w:val="00E5048E"/>
    <w:rsid w:val="00E53254"/>
    <w:rsid w:val="00E63CB0"/>
    <w:rsid w:val="00E6745B"/>
    <w:rsid w:val="00E73A45"/>
    <w:rsid w:val="00E77291"/>
    <w:rsid w:val="00E9068B"/>
    <w:rsid w:val="00E969CC"/>
    <w:rsid w:val="00EA48DC"/>
    <w:rsid w:val="00EA68B1"/>
    <w:rsid w:val="00EA7C94"/>
    <w:rsid w:val="00EB3456"/>
    <w:rsid w:val="00EB5DF7"/>
    <w:rsid w:val="00EC58A9"/>
    <w:rsid w:val="00ED195F"/>
    <w:rsid w:val="00EE1A0C"/>
    <w:rsid w:val="00EE434C"/>
    <w:rsid w:val="00EF7B2A"/>
    <w:rsid w:val="00F05C64"/>
    <w:rsid w:val="00F05EF1"/>
    <w:rsid w:val="00F07CB3"/>
    <w:rsid w:val="00F17F52"/>
    <w:rsid w:val="00F27CB9"/>
    <w:rsid w:val="00F51210"/>
    <w:rsid w:val="00F723BF"/>
    <w:rsid w:val="00F854BC"/>
    <w:rsid w:val="00FB5855"/>
    <w:rsid w:val="00FC05FA"/>
    <w:rsid w:val="00FC5450"/>
    <w:rsid w:val="00FE40DA"/>
    <w:rsid w:val="00FE6A79"/>
    <w:rsid w:val="00FF45DA"/>
    <w:rsid w:val="00FF6CCF"/>
    <w:rsid w:val="00FF78F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6B63"/>
  <w15:docId w15:val="{E7942740-76EF-4F06-82EC-3613CE59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ol1">
    <w:name w:val="heading 1"/>
    <w:basedOn w:val="Normal"/>
    <w:next w:val="Normal"/>
    <w:link w:val="Ttol1Car"/>
    <w:uiPriority w:val="9"/>
    <w:qFormat/>
    <w:rsid w:val="00FE4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FE4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FE40DA"/>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FE40DA"/>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FE40DA"/>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FE40DA"/>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E40DA"/>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E40DA"/>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E40DA"/>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E40DA"/>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FE40DA"/>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FE40DA"/>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FE40DA"/>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FE40DA"/>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FE40D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E40D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E40D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E40DA"/>
    <w:rPr>
      <w:rFonts w:eastAsiaTheme="majorEastAsia" w:cstheme="majorBidi"/>
      <w:color w:val="272727" w:themeColor="text1" w:themeTint="D8"/>
    </w:rPr>
  </w:style>
  <w:style w:type="paragraph" w:styleId="Ttol">
    <w:name w:val="Title"/>
    <w:basedOn w:val="Normal"/>
    <w:next w:val="Normal"/>
    <w:link w:val="TtolCar"/>
    <w:uiPriority w:val="10"/>
    <w:qFormat/>
    <w:rsid w:val="00FE4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E40D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E40D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E40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40DA"/>
    <w:pPr>
      <w:spacing w:before="160"/>
      <w:jc w:val="center"/>
    </w:pPr>
    <w:rPr>
      <w:i/>
      <w:iCs/>
      <w:color w:val="404040" w:themeColor="text1" w:themeTint="BF"/>
    </w:rPr>
  </w:style>
  <w:style w:type="character" w:customStyle="1" w:styleId="CitaCar">
    <w:name w:val="Cita Car"/>
    <w:basedOn w:val="Lletraperdefectedelpargraf"/>
    <w:link w:val="Cita"/>
    <w:uiPriority w:val="29"/>
    <w:rsid w:val="00FE40DA"/>
    <w:rPr>
      <w:i/>
      <w:iCs/>
      <w:color w:val="404040" w:themeColor="text1" w:themeTint="BF"/>
    </w:rPr>
  </w:style>
  <w:style w:type="paragraph" w:styleId="Pargrafdellista">
    <w:name w:val="List Paragraph"/>
    <w:basedOn w:val="Normal"/>
    <w:uiPriority w:val="34"/>
    <w:qFormat/>
    <w:rsid w:val="00FE40DA"/>
    <w:pPr>
      <w:ind w:left="720"/>
      <w:contextualSpacing/>
    </w:pPr>
  </w:style>
  <w:style w:type="character" w:styleId="mfasiintens">
    <w:name w:val="Intense Emphasis"/>
    <w:basedOn w:val="Lletraperdefectedelpargraf"/>
    <w:uiPriority w:val="21"/>
    <w:qFormat/>
    <w:rsid w:val="00FE40DA"/>
    <w:rPr>
      <w:i/>
      <w:iCs/>
      <w:color w:val="2F5496" w:themeColor="accent1" w:themeShade="BF"/>
    </w:rPr>
  </w:style>
  <w:style w:type="paragraph" w:styleId="Citaintensa">
    <w:name w:val="Intense Quote"/>
    <w:basedOn w:val="Normal"/>
    <w:next w:val="Normal"/>
    <w:link w:val="CitaintensaCar"/>
    <w:uiPriority w:val="30"/>
    <w:qFormat/>
    <w:rsid w:val="00FE4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FE40DA"/>
    <w:rPr>
      <w:i/>
      <w:iCs/>
      <w:color w:val="2F5496" w:themeColor="accent1" w:themeShade="BF"/>
    </w:rPr>
  </w:style>
  <w:style w:type="character" w:styleId="Refernciaintensa">
    <w:name w:val="Intense Reference"/>
    <w:basedOn w:val="Lletraperdefectedelpargraf"/>
    <w:uiPriority w:val="32"/>
    <w:qFormat/>
    <w:rsid w:val="00FE40DA"/>
    <w:rPr>
      <w:b/>
      <w:bCs/>
      <w:smallCaps/>
      <w:color w:val="2F5496" w:themeColor="accent1" w:themeShade="BF"/>
      <w:spacing w:val="5"/>
    </w:rPr>
  </w:style>
  <w:style w:type="character" w:styleId="Enlla">
    <w:name w:val="Hyperlink"/>
    <w:basedOn w:val="Lletraperdefectedelpargraf"/>
    <w:uiPriority w:val="99"/>
    <w:unhideWhenUsed/>
    <w:rsid w:val="004A4C29"/>
    <w:rPr>
      <w:color w:val="0563C1" w:themeColor="hyperlink"/>
      <w:u w:val="single"/>
    </w:rPr>
  </w:style>
  <w:style w:type="character" w:styleId="Mencisenseresoldre">
    <w:name w:val="Unresolved Mention"/>
    <w:basedOn w:val="Lletraperdefectedelpargraf"/>
    <w:uiPriority w:val="99"/>
    <w:semiHidden/>
    <w:unhideWhenUsed/>
    <w:rsid w:val="004A4C29"/>
    <w:rPr>
      <w:color w:val="605E5C"/>
      <w:shd w:val="clear" w:color="auto" w:fill="E1DFDD"/>
    </w:rPr>
  </w:style>
  <w:style w:type="paragraph" w:styleId="HTMLambformatprevi">
    <w:name w:val="HTML Preformatted"/>
    <w:basedOn w:val="Normal"/>
    <w:link w:val="HTMLambformatpreviCar"/>
    <w:uiPriority w:val="99"/>
    <w:semiHidden/>
    <w:unhideWhenUsed/>
    <w:rsid w:val="00616B04"/>
    <w:pPr>
      <w:spacing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616B04"/>
    <w:rPr>
      <w:rFonts w:ascii="Consolas" w:hAnsi="Consola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30784">
      <w:bodyDiv w:val="1"/>
      <w:marLeft w:val="0"/>
      <w:marRight w:val="0"/>
      <w:marTop w:val="0"/>
      <w:marBottom w:val="0"/>
      <w:divBdr>
        <w:top w:val="none" w:sz="0" w:space="0" w:color="auto"/>
        <w:left w:val="none" w:sz="0" w:space="0" w:color="auto"/>
        <w:bottom w:val="none" w:sz="0" w:space="0" w:color="auto"/>
        <w:right w:val="none" w:sz="0" w:space="0" w:color="auto"/>
      </w:divBdr>
    </w:div>
    <w:div w:id="1538202854">
      <w:bodyDiv w:val="1"/>
      <w:marLeft w:val="0"/>
      <w:marRight w:val="0"/>
      <w:marTop w:val="0"/>
      <w:marBottom w:val="0"/>
      <w:divBdr>
        <w:top w:val="none" w:sz="0" w:space="0" w:color="auto"/>
        <w:left w:val="none" w:sz="0" w:space="0" w:color="auto"/>
        <w:bottom w:val="none" w:sz="0" w:space="0" w:color="auto"/>
        <w:right w:val="none" w:sz="0" w:space="0" w:color="auto"/>
      </w:divBdr>
    </w:div>
    <w:div w:id="1757285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bcp.es/index.php/monitor/doctrina-del-tribunal-administrativo-central-de-recursos-contractuales-sobre-el-criterio-d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1054</TotalTime>
  <Pages>7</Pages>
  <Words>3177</Words>
  <Characters>18113</Characters>
  <Application>Microsoft Office Word</Application>
  <DocSecurity>0</DocSecurity>
  <Lines>150</Lines>
  <Paragraphs>42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BLANCO LOPEZ</dc:creator>
  <cp:keywords/>
  <dc:description/>
  <cp:lastModifiedBy>FRANCISCO BLANCO LOPEZ</cp:lastModifiedBy>
  <cp:revision>67</cp:revision>
  <dcterms:created xsi:type="dcterms:W3CDTF">2024-02-29T09:22:00Z</dcterms:created>
  <dcterms:modified xsi:type="dcterms:W3CDTF">2024-03-04T09:59:00Z</dcterms:modified>
</cp:coreProperties>
</file>